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3921"/>
      </w:tblGrid>
      <w:tr w:rsidR="00AA5089" w:rsidRPr="005C04E2" w:rsidTr="00AC2335">
        <w:tc>
          <w:tcPr>
            <w:tcW w:w="4928" w:type="dxa"/>
          </w:tcPr>
          <w:p w:rsidR="00AA5089" w:rsidRPr="005C04E2" w:rsidRDefault="00AA5089" w:rsidP="00AA5089">
            <w:pPr>
              <w:jc w:val="center"/>
              <w:rPr>
                <w:rFonts w:ascii="Calibri" w:eastAsia="Arial" w:hAnsi="Calibri" w:cs="Arial"/>
                <w:b/>
                <w:sz w:val="18"/>
                <w:szCs w:val="18"/>
                <w:lang w:eastAsia="el-GR"/>
              </w:rPr>
            </w:pPr>
            <w:bookmarkStart w:id="0" w:name="_Hlk79583047"/>
          </w:p>
          <w:p w:rsidR="00AA5089" w:rsidRPr="005C04E2" w:rsidRDefault="00AA5089" w:rsidP="00AA5089">
            <w:pPr>
              <w:jc w:val="center"/>
              <w:rPr>
                <w:rFonts w:ascii="Calibri" w:eastAsia="Calibri" w:hAnsi="Calibri" w:cs="Arial"/>
                <w:b/>
                <w:bCs/>
                <w:lang w:eastAsia="el-GR"/>
              </w:rPr>
            </w:pPr>
          </w:p>
          <w:p w:rsidR="00AA5089" w:rsidRPr="005C04E2" w:rsidRDefault="00AA5089" w:rsidP="00AA508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  <w:r w:rsidRPr="005C04E2">
              <w:rPr>
                <w:rFonts w:ascii="Calibri" w:eastAsia="Calibri" w:hAnsi="Calibri" w:cs="Times New Roman"/>
                <w:b/>
                <w:lang w:eastAsia="el-GR"/>
              </w:rPr>
              <w:t>ΕΛΛΗΝΙΚΗ ΔΗΜΟΚΡΑΤΙΑ</w:t>
            </w:r>
          </w:p>
          <w:p w:rsidR="00AA5089" w:rsidRPr="005C04E2" w:rsidRDefault="00AA5089" w:rsidP="00AA508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  <w:r w:rsidRPr="005C04E2">
              <w:rPr>
                <w:rFonts w:ascii="Calibri" w:eastAsia="Calibri" w:hAnsi="Calibri" w:cs="Times New Roman"/>
                <w:b/>
                <w:lang w:eastAsia="el-GR"/>
              </w:rPr>
              <w:t>ΥΠΟΥΡΓΕΙΟ  ΠΑΙΔΕΙ</w:t>
            </w:r>
            <w:r w:rsidR="003C2EBE">
              <w:rPr>
                <w:rFonts w:ascii="Calibri" w:eastAsia="Calibri" w:hAnsi="Calibri" w:cs="Times New Roman"/>
                <w:b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haracter">
                    <wp:posOffset>-15240</wp:posOffset>
                  </wp:positionH>
                  <wp:positionV relativeFrom="line">
                    <wp:posOffset>-419735</wp:posOffset>
                  </wp:positionV>
                  <wp:extent cx="229870" cy="223520"/>
                  <wp:effectExtent l="19050" t="0" r="0" b="0"/>
                  <wp:wrapTight wrapText="bothSides">
                    <wp:wrapPolygon edited="0">
                      <wp:start x="-1790" y="0"/>
                      <wp:lineTo x="0" y="20250"/>
                      <wp:lineTo x="1790" y="20250"/>
                      <wp:lineTo x="16110" y="20250"/>
                      <wp:lineTo x="21481" y="12886"/>
                      <wp:lineTo x="21481" y="5523"/>
                      <wp:lineTo x="19691" y="0"/>
                      <wp:lineTo x="-1790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04E2">
              <w:rPr>
                <w:rFonts w:ascii="Calibri" w:eastAsia="Calibri" w:hAnsi="Calibri" w:cs="Times New Roman"/>
                <w:b/>
                <w:lang w:eastAsia="el-GR"/>
              </w:rPr>
              <w:t>ΑΣ ΚΑΙ ΘΡΗΣΚΕΥΜΑΤΩΝ</w:t>
            </w:r>
          </w:p>
          <w:p w:rsidR="00AA5089" w:rsidRPr="005C04E2" w:rsidRDefault="00AA5089" w:rsidP="00AA508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Times New Roman"/>
                <w:lang w:eastAsia="el-GR"/>
              </w:rPr>
            </w:pPr>
            <w:r w:rsidRPr="005C04E2">
              <w:rPr>
                <w:rFonts w:ascii="Calibri" w:eastAsia="Calibri" w:hAnsi="Calibri" w:cs="Times New Roman"/>
                <w:lang w:eastAsia="el-GR"/>
              </w:rPr>
              <w:t>-----</w:t>
            </w:r>
          </w:p>
          <w:p w:rsidR="00AA5089" w:rsidRPr="005C04E2" w:rsidRDefault="00AA5089" w:rsidP="00AA508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Times New Roman"/>
                <w:lang w:eastAsia="el-GR"/>
              </w:rPr>
            </w:pPr>
            <w:r w:rsidRPr="005C04E2">
              <w:rPr>
                <w:rFonts w:ascii="Calibri" w:eastAsia="Calibri" w:hAnsi="Calibri" w:cs="Times New Roman"/>
                <w:lang w:eastAsia="el-GR"/>
              </w:rPr>
              <w:t>ΠΕΡΙΦΕΡΕΙΑΚΗ ΔΙΕΥΘΥΝΣΗ ΠΡΩΤΟΒΑΘΜΙΑΣ ΚΑΙ ΔΕΥΤΕΡΟΒΑΘΜΙΑΣ ΕΚΠΑΙΔΕΥΣΗΣ ΚΡΗΤΗΣ</w:t>
            </w:r>
          </w:p>
        </w:tc>
        <w:tc>
          <w:tcPr>
            <w:tcW w:w="4261" w:type="dxa"/>
            <w:vAlign w:val="bottom"/>
          </w:tcPr>
          <w:p w:rsidR="00AA5089" w:rsidRPr="005C04E2" w:rsidRDefault="00AA5089" w:rsidP="00AA5089">
            <w:pPr>
              <w:jc w:val="both"/>
              <w:rPr>
                <w:rFonts w:ascii="Calibri" w:eastAsia="Calibri" w:hAnsi="Calibri" w:cs="Times New Roman"/>
                <w:b/>
                <w:sz w:val="28"/>
                <w:lang w:eastAsia="el-GR"/>
              </w:rPr>
            </w:pPr>
          </w:p>
          <w:p w:rsidR="00AA5089" w:rsidRPr="005C04E2" w:rsidRDefault="00AA5089" w:rsidP="00AA5089">
            <w:pPr>
              <w:jc w:val="right"/>
              <w:rPr>
                <w:rFonts w:ascii="Calibri" w:eastAsia="Calibri" w:hAnsi="Calibri" w:cs="Times New Roman"/>
                <w:b/>
                <w:sz w:val="28"/>
                <w:lang w:eastAsia="el-GR"/>
              </w:rPr>
            </w:pPr>
          </w:p>
        </w:tc>
      </w:tr>
      <w:tr w:rsidR="00AA5089" w:rsidRPr="005C04E2" w:rsidTr="00AC2335">
        <w:tc>
          <w:tcPr>
            <w:tcW w:w="9189" w:type="dxa"/>
            <w:gridSpan w:val="2"/>
          </w:tcPr>
          <w:p w:rsidR="00AA5089" w:rsidRPr="005C04E2" w:rsidRDefault="0083144F" w:rsidP="00AA5089">
            <w:pPr>
              <w:spacing w:after="200"/>
              <w:jc w:val="both"/>
              <w:rPr>
                <w:rFonts w:ascii="Calibri" w:eastAsia="Calibri" w:hAnsi="Calibri" w:cs="Times New Roman"/>
                <w:lang w:eastAsia="el-GR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rect id="_x0000_s1027" style="position:absolute;left:0;text-align:left;margin-left:-23.95pt;margin-top:3.35pt;width:454.85pt;height:7.65pt;z-index:251660288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</w:tr>
      <w:tr w:rsidR="00AA5089" w:rsidRPr="005C04E2" w:rsidTr="00AC2335">
        <w:tc>
          <w:tcPr>
            <w:tcW w:w="4928" w:type="dxa"/>
          </w:tcPr>
          <w:p w:rsidR="00AA5089" w:rsidRPr="005C04E2" w:rsidRDefault="00AA5089" w:rsidP="00AA5089">
            <w:pPr>
              <w:jc w:val="both"/>
              <w:rPr>
                <w:rFonts w:ascii="Calibri" w:eastAsia="Calibri" w:hAnsi="Calibri" w:cs="Times New Roman"/>
                <w:lang w:eastAsia="el-GR"/>
              </w:rPr>
            </w:pPr>
          </w:p>
        </w:tc>
        <w:tc>
          <w:tcPr>
            <w:tcW w:w="4261" w:type="dxa"/>
          </w:tcPr>
          <w:p w:rsidR="00AA5089" w:rsidRPr="00D942B9" w:rsidRDefault="00AA5089" w:rsidP="003C2EB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l-GR"/>
              </w:rPr>
            </w:pPr>
            <w:r w:rsidRPr="00D942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l-GR"/>
              </w:rPr>
              <w:t>Ηράκλειο</w:t>
            </w:r>
            <w:r w:rsidRPr="00D942B9">
              <w:rPr>
                <w:rFonts w:ascii="Times New Roman" w:eastAsia="Calibri" w:hAnsi="Times New Roman" w:cs="Times New Roman"/>
                <w:sz w:val="20"/>
                <w:szCs w:val="20"/>
                <w:lang w:eastAsia="el-GR"/>
              </w:rPr>
              <w:t>, 1</w:t>
            </w:r>
            <w:r w:rsidR="003C2EBE" w:rsidRPr="00D942B9">
              <w:rPr>
                <w:rFonts w:ascii="Times New Roman" w:eastAsia="Calibri" w:hAnsi="Times New Roman" w:cs="Times New Roman"/>
                <w:sz w:val="20"/>
                <w:szCs w:val="20"/>
                <w:lang w:eastAsia="el-GR"/>
              </w:rPr>
              <w:t>9</w:t>
            </w:r>
            <w:r w:rsidRPr="00D942B9">
              <w:rPr>
                <w:rFonts w:ascii="Times New Roman" w:eastAsia="Calibri" w:hAnsi="Times New Roman" w:cs="Times New Roman"/>
                <w:sz w:val="20"/>
                <w:szCs w:val="20"/>
                <w:lang w:eastAsia="el-GR"/>
              </w:rPr>
              <w:t>-12-2022</w:t>
            </w:r>
          </w:p>
        </w:tc>
      </w:tr>
      <w:bookmarkEnd w:id="0"/>
    </w:tbl>
    <w:p w:rsidR="00D942B9" w:rsidRDefault="00D942B9" w:rsidP="00AA5089">
      <w:pPr>
        <w:spacing w:line="276" w:lineRule="auto"/>
        <w:ind w:firstLine="720"/>
        <w:jc w:val="center"/>
        <w:rPr>
          <w:rFonts w:cs="Calibri"/>
          <w:b/>
          <w:sz w:val="24"/>
          <w:szCs w:val="24"/>
          <w:lang w:val="en-US"/>
        </w:rPr>
      </w:pPr>
    </w:p>
    <w:p w:rsidR="00AA5089" w:rsidRPr="00903C3D" w:rsidRDefault="00AA5089" w:rsidP="00AA5089">
      <w:pPr>
        <w:spacing w:line="276" w:lineRule="auto"/>
        <w:ind w:firstLine="720"/>
        <w:jc w:val="center"/>
        <w:rPr>
          <w:rFonts w:cs="Calibri"/>
          <w:b/>
          <w:sz w:val="24"/>
          <w:szCs w:val="24"/>
        </w:rPr>
      </w:pPr>
      <w:r w:rsidRPr="00903C3D">
        <w:rPr>
          <w:rFonts w:cs="Calibri"/>
          <w:b/>
          <w:sz w:val="24"/>
          <w:szCs w:val="24"/>
        </w:rPr>
        <w:t>ΔΕΛΤΙΟ ΤΥΠΟΥ</w:t>
      </w:r>
    </w:p>
    <w:p w:rsidR="00AA5089" w:rsidRPr="005C04E2" w:rsidRDefault="00AA5089" w:rsidP="00AA5089">
      <w:pPr>
        <w:spacing w:after="0" w:line="240" w:lineRule="auto"/>
        <w:ind w:firstLine="720"/>
        <w:jc w:val="center"/>
        <w:rPr>
          <w:rFonts w:cs="Calibri"/>
          <w:sz w:val="24"/>
          <w:szCs w:val="24"/>
        </w:rPr>
      </w:pPr>
      <w:r w:rsidRPr="005C04E2">
        <w:rPr>
          <w:rFonts w:cs="Calibri"/>
          <w:sz w:val="24"/>
          <w:szCs w:val="24"/>
        </w:rPr>
        <w:t xml:space="preserve">Σεμινάριο </w:t>
      </w:r>
      <w:r>
        <w:rPr>
          <w:rFonts w:cs="Calibri"/>
          <w:sz w:val="24"/>
          <w:szCs w:val="24"/>
        </w:rPr>
        <w:t>«</w:t>
      </w:r>
      <w:r w:rsidRPr="005C04E2">
        <w:rPr>
          <w:rFonts w:cs="Calibri"/>
          <w:sz w:val="24"/>
          <w:szCs w:val="24"/>
          <w:lang w:val="en-US"/>
        </w:rPr>
        <w:t>Supporting</w:t>
      </w:r>
      <w:r w:rsidRPr="005C04E2">
        <w:rPr>
          <w:rFonts w:cs="Calibri"/>
          <w:sz w:val="24"/>
          <w:szCs w:val="24"/>
        </w:rPr>
        <w:t xml:space="preserve"> </w:t>
      </w:r>
      <w:r w:rsidRPr="005C04E2">
        <w:rPr>
          <w:rFonts w:cs="Calibri"/>
          <w:sz w:val="24"/>
          <w:szCs w:val="24"/>
          <w:lang w:val="en-US"/>
        </w:rPr>
        <w:t>Multilingual</w:t>
      </w:r>
      <w:r w:rsidRPr="005C04E2">
        <w:rPr>
          <w:rFonts w:cs="Calibri"/>
          <w:sz w:val="24"/>
          <w:szCs w:val="24"/>
        </w:rPr>
        <w:t xml:space="preserve"> </w:t>
      </w:r>
      <w:r w:rsidRPr="005C04E2">
        <w:rPr>
          <w:rFonts w:cs="Calibri"/>
          <w:sz w:val="24"/>
          <w:szCs w:val="24"/>
          <w:lang w:val="en-US"/>
        </w:rPr>
        <w:t>Classrooms</w:t>
      </w:r>
      <w:r>
        <w:rPr>
          <w:rFonts w:cs="Calibri"/>
          <w:sz w:val="24"/>
          <w:szCs w:val="24"/>
        </w:rPr>
        <w:t>»</w:t>
      </w:r>
    </w:p>
    <w:p w:rsidR="00AA5089" w:rsidRDefault="00AA5089" w:rsidP="00AA5089">
      <w:pPr>
        <w:spacing w:after="0" w:line="240" w:lineRule="auto"/>
        <w:ind w:firstLine="720"/>
        <w:jc w:val="center"/>
        <w:rPr>
          <w:rFonts w:cs="Calibri"/>
          <w:b/>
          <w:sz w:val="24"/>
          <w:szCs w:val="24"/>
        </w:rPr>
      </w:pPr>
      <w:r w:rsidRPr="00AA5089">
        <w:rPr>
          <w:rFonts w:cs="Calibri"/>
          <w:b/>
          <w:sz w:val="24"/>
          <w:szCs w:val="24"/>
        </w:rPr>
        <w:t>15-16 Δεκεμβρίου 2022</w:t>
      </w:r>
    </w:p>
    <w:p w:rsidR="002615EC" w:rsidRPr="005C04E2" w:rsidRDefault="002615EC" w:rsidP="00AA5089">
      <w:pPr>
        <w:spacing w:after="0" w:line="240" w:lineRule="auto"/>
        <w:ind w:firstLine="720"/>
        <w:jc w:val="center"/>
        <w:rPr>
          <w:rFonts w:cs="Calibri"/>
          <w:b/>
          <w:sz w:val="24"/>
          <w:szCs w:val="24"/>
        </w:rPr>
      </w:pPr>
    </w:p>
    <w:p w:rsidR="00600CDE" w:rsidRPr="00AA5089" w:rsidRDefault="00182996" w:rsidP="00AA5089">
      <w:pPr>
        <w:pStyle w:val="TableParagraph"/>
        <w:spacing w:line="360" w:lineRule="auto"/>
        <w:ind w:left="110" w:right="-57" w:firstLine="61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Πραγματοποιήθηκε με </w:t>
      </w:r>
      <w:r w:rsidR="00666694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μεγάλη 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επιτυχία το 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>διήμερο επιμορφωτικό σεμινάριο που διοργάνωσε η Περιφερειακή Διεύθυνση Εκπαίδευσης Κρήτης, σε συνεργασία με τη Διεύθυνση Ευρωπαϊκών και Διεθνών Θεμάτων - Τμήμα Διεθνών Σχέσεων, του Υπουργείου Παιδείας και Θρησκευμάτων και το Ευρωπαϊκό Κέντρο Σύγχρονων Γλωσσών (ΕΚΣΓ/</w:t>
      </w:r>
      <w:r w:rsidR="00600CDE" w:rsidRPr="00AA5089">
        <w:rPr>
          <w:rFonts w:ascii="Times New Roman" w:hAnsi="Times New Roman" w:cs="Times New Roman"/>
          <w:sz w:val="24"/>
          <w:szCs w:val="24"/>
        </w:rPr>
        <w:t>ECML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), του Συμβουλίου της Ευρώπης με θέμα: </w:t>
      </w:r>
      <w:r w:rsidR="00600CDE" w:rsidRPr="00AA5089">
        <w:rPr>
          <w:rFonts w:ascii="Times New Roman" w:hAnsi="Times New Roman" w:cs="Times New Roman"/>
          <w:i/>
          <w:iCs/>
          <w:sz w:val="24"/>
          <w:szCs w:val="24"/>
          <w:lang w:val="el-GR"/>
        </w:rPr>
        <w:t>«</w:t>
      </w:r>
      <w:r w:rsidR="00600CDE" w:rsidRPr="00AA5089">
        <w:rPr>
          <w:rFonts w:ascii="Times New Roman" w:hAnsi="Times New Roman" w:cs="Times New Roman"/>
          <w:sz w:val="24"/>
          <w:szCs w:val="24"/>
          <w:lang w:val="en-GB"/>
        </w:rPr>
        <w:t>Supporting</w:t>
      </w:r>
      <w:r w:rsidR="00AA5089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sz w:val="24"/>
          <w:szCs w:val="24"/>
          <w:lang w:val="en-GB"/>
        </w:rPr>
        <w:t>Multilingual</w:t>
      </w:r>
      <w:r w:rsidR="00AA5089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sz w:val="24"/>
          <w:szCs w:val="24"/>
          <w:lang w:val="en-GB"/>
        </w:rPr>
        <w:t>Classrooms</w:t>
      </w:r>
      <w:r w:rsidR="00AA5089" w:rsidRPr="00AA5089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>. Το εθνικής αυτό εμβέλειας χρηματοδοτούμενο επιμορφωτικό σεμινάριο διεξήχθη στις 15 και 16</w:t>
      </w:r>
      <w:r w:rsidR="00A9717F">
        <w:rPr>
          <w:rFonts w:ascii="Times New Roman" w:hAnsi="Times New Roman" w:cs="Times New Roman"/>
          <w:sz w:val="24"/>
          <w:szCs w:val="24"/>
          <w:lang w:val="el-GR"/>
        </w:rPr>
        <w:t xml:space="preserve"> Δεκεμβρίου 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600CDE" w:rsidRPr="00AA5089">
        <w:rPr>
          <w:rFonts w:ascii="Times New Roman" w:hAnsi="Times New Roman" w:cs="Times New Roman"/>
          <w:bCs/>
          <w:sz w:val="24"/>
          <w:szCs w:val="24"/>
          <w:lang w:val="el-GR"/>
        </w:rPr>
        <w:t>022,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στο Ηράκλειο Κρήτης στην συνεδριακή αίθουσα του </w:t>
      </w:r>
      <w:r w:rsidR="00600CDE" w:rsidRPr="00AA5089">
        <w:rPr>
          <w:rFonts w:ascii="Times New Roman" w:hAnsi="Times New Roman" w:cs="Times New Roman"/>
          <w:sz w:val="24"/>
          <w:szCs w:val="24"/>
        </w:rPr>
        <w:t>Ibis</w:t>
      </w:r>
      <w:r w:rsid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sz w:val="24"/>
          <w:szCs w:val="24"/>
        </w:rPr>
        <w:t>Styles</w:t>
      </w:r>
      <w:r w:rsid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sz w:val="24"/>
          <w:szCs w:val="24"/>
        </w:rPr>
        <w:t>Central</w:t>
      </w:r>
      <w:r w:rsid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sz w:val="24"/>
          <w:szCs w:val="24"/>
        </w:rPr>
        <w:t>Hotel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από 9.00 – 17.00</w:t>
      </w:r>
      <w:r w:rsidR="00666694" w:rsidRPr="00AA508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σύμφωνα με τις ευρωπαϊκές προδιαγραφές από δύο εμπειρογνώμονες του Ευρωπαϊκού Κέντρου Σύγχρονων Γλωσσών, τ</w:t>
      </w:r>
      <w:r w:rsidR="00BF0B7A">
        <w:rPr>
          <w:rFonts w:ascii="Times New Roman" w:hAnsi="Times New Roman" w:cs="Times New Roman"/>
          <w:sz w:val="24"/>
          <w:szCs w:val="24"/>
          <w:lang w:val="el-GR"/>
        </w:rPr>
        <w:t>ην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de-CH"/>
        </w:rPr>
        <w:t>Catherine</w:t>
      </w:r>
      <w:r w:rsidR="00AA5089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 xml:space="preserve"> </w:t>
      </w:r>
      <w:proofErr w:type="spellStart"/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de-CH"/>
        </w:rPr>
        <w:t>Carré</w:t>
      </w:r>
      <w:proofErr w:type="spellEnd"/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de-CH"/>
        </w:rPr>
        <w:t>-Karlinger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 xml:space="preserve"> από την </w:t>
      </w:r>
      <w:r w:rsidR="00AA5089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>Αυστρία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de-CH"/>
        </w:rPr>
        <w:t xml:space="preserve"> 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 xml:space="preserve">και την 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de-CH"/>
        </w:rPr>
        <w:t>Katja Schnitzer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 xml:space="preserve"> από την </w:t>
      </w:r>
      <w:r w:rsidR="00AA5089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>Ε</w:t>
      </w:r>
      <w:r w:rsid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>λ</w:t>
      </w:r>
      <w:r w:rsidR="00AA5089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>βετία</w:t>
      </w:r>
      <w:r w:rsidR="00600CDE" w:rsidRP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>. Το σεμινάριο παρακολούθησαν εκπαιδευτικοί από όλη την Κρήτη και τη Δυτική Μακεδονία και</w:t>
      </w:r>
      <w:r w:rsidR="00AA5089">
        <w:rPr>
          <w:rFonts w:ascii="Times New Roman" w:hAnsi="Times New Roman" w:cs="Times New Roman"/>
          <w:color w:val="404040"/>
          <w:sz w:val="24"/>
          <w:szCs w:val="24"/>
          <w:lang w:val="el-GR"/>
        </w:rPr>
        <w:t xml:space="preserve"> </w:t>
      </w:r>
      <w:r w:rsidR="00600CDE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περιελάμβανε επιμέρους βιωματικές δράσεις και εργαστήρια. </w:t>
      </w:r>
    </w:p>
    <w:p w:rsidR="009714CE" w:rsidRPr="002615EC" w:rsidRDefault="009714CE" w:rsidP="00AA5089">
      <w:pPr>
        <w:pStyle w:val="TableParagraph"/>
        <w:spacing w:line="360" w:lineRule="auto"/>
        <w:ind w:left="110" w:right="-57" w:firstLine="61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Την εκδήλωση χαιρέτησε η Υφυπουργός Παιδείας και Θρησκευμάτων, κα </w:t>
      </w:r>
      <w:proofErr w:type="spellStart"/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>Ζέττα</w:t>
      </w:r>
      <w:proofErr w:type="spellEnd"/>
      <w:r w:rsid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>Μακρή, το λόγο τη οποίας εκφώνησε η κ</w:t>
      </w:r>
      <w:r w:rsidR="00BF0B7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2615EC">
        <w:rPr>
          <w:rFonts w:ascii="Times New Roman" w:hAnsi="Times New Roman" w:cs="Times New Roman"/>
          <w:sz w:val="24"/>
          <w:szCs w:val="24"/>
          <w:lang w:val="el-GR"/>
        </w:rPr>
        <w:t xml:space="preserve">Αικατερίνη </w:t>
      </w:r>
      <w:proofErr w:type="spellStart"/>
      <w:r w:rsidRPr="00AA5089">
        <w:rPr>
          <w:rFonts w:ascii="Times New Roman" w:hAnsi="Times New Roman" w:cs="Times New Roman"/>
          <w:sz w:val="24"/>
          <w:szCs w:val="24"/>
          <w:lang w:val="el-GR"/>
        </w:rPr>
        <w:t>Μπομπέτση</w:t>
      </w:r>
      <w:proofErr w:type="spellEnd"/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από τη Διεύθυνση Ευρωπαϊκών και Διεθνών Θεμάτων και το Τμήμα Διεθνών Σχέσεων του Υπουργείου, ο Γενικός Γραμματέας</w:t>
      </w:r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Πρωτοβάθμιας,  Δευτεροβάθμιας Εκπαίδευσης και Ειδικής Αγωγής και Εκπαίδευσης, κ. Αλέξανδρος </w:t>
      </w:r>
      <w:proofErr w:type="spellStart"/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>Κόπτσης</w:t>
      </w:r>
      <w:proofErr w:type="spellEnd"/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>, ο Περιφερειακός Διευθυντής Πρωτοβάθμιας και Δευτεροβάθμιας Εκπαίδευσης Κρήτης,</w:t>
      </w:r>
      <w:r w:rsidR="00BF0B7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>κ.</w:t>
      </w:r>
      <w:r w:rsidR="00BF0B7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Μανώλης </w:t>
      </w:r>
      <w:proofErr w:type="spellStart"/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>Καρτσωνάκης</w:t>
      </w:r>
      <w:proofErr w:type="spellEnd"/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και η </w:t>
      </w:r>
      <w:r w:rsidR="00D33896" w:rsidRPr="00AA5089">
        <w:rPr>
          <w:rFonts w:ascii="Times New Roman" w:hAnsi="Times New Roman" w:cs="Times New Roman"/>
          <w:sz w:val="24"/>
          <w:szCs w:val="24"/>
        </w:rPr>
        <w:t>Susanna</w:t>
      </w:r>
      <w:r w:rsidR="00AA508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D33896" w:rsidRPr="00AA5089">
        <w:rPr>
          <w:rFonts w:ascii="Times New Roman" w:hAnsi="Times New Roman" w:cs="Times New Roman"/>
          <w:sz w:val="24"/>
          <w:szCs w:val="24"/>
        </w:rPr>
        <w:t>Slivensky</w:t>
      </w:r>
      <w:proofErr w:type="spellEnd"/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, Διευθύντρια Προγραμμάτων του </w:t>
      </w:r>
      <w:r w:rsidR="00D33896" w:rsidRPr="00AA5089">
        <w:rPr>
          <w:rFonts w:ascii="Times New Roman" w:hAnsi="Times New Roman" w:cs="Times New Roman"/>
          <w:sz w:val="24"/>
          <w:szCs w:val="24"/>
        </w:rPr>
        <w:t>ECML</w:t>
      </w:r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2615EC">
        <w:rPr>
          <w:rFonts w:ascii="Times New Roman" w:hAnsi="Times New Roman" w:cs="Times New Roman"/>
          <w:sz w:val="24"/>
          <w:szCs w:val="24"/>
          <w:lang w:val="el-GR"/>
        </w:rPr>
        <w:t xml:space="preserve"> Τις εργασίες παρακολούθησε ως εκπρόσωπος του ΙΕΠ ο κ. Ιωάννης Βεντούρης, από το </w:t>
      </w:r>
      <w:r w:rsidR="002615EC" w:rsidRPr="002615EC">
        <w:rPr>
          <w:rFonts w:ascii="Times New Roman" w:hAnsi="Times New Roman" w:cs="Times New Roman"/>
          <w:sz w:val="24"/>
          <w:szCs w:val="24"/>
          <w:lang w:val="el-GR"/>
        </w:rPr>
        <w:t>Τμήμα Γ΄</w:t>
      </w:r>
      <w:r w:rsidR="002615EC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2615EC" w:rsidRPr="002615EC">
        <w:rPr>
          <w:rFonts w:ascii="Times New Roman" w:hAnsi="Times New Roman" w:cs="Times New Roman"/>
          <w:sz w:val="24"/>
          <w:szCs w:val="24"/>
          <w:lang w:val="el-GR"/>
        </w:rPr>
        <w:t>Επιμόρφωσης και Αξιολόγησης Εκπαιδευτικού Έργου και Εκπαιδευτικών, Ευρωπαϊκής και Διεθνούς Εκπαιδευτικής Πολιτικής</w:t>
      </w:r>
      <w:r w:rsidR="00893D59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8785F" w:rsidRPr="00AA5089" w:rsidRDefault="00600CDE" w:rsidP="00AA5089">
      <w:pPr>
        <w:pStyle w:val="TableParagraph"/>
        <w:spacing w:line="360" w:lineRule="auto"/>
        <w:ind w:left="110" w:right="-57" w:firstLine="610"/>
        <w:jc w:val="both"/>
        <w:rPr>
          <w:rStyle w:val="rynqvb"/>
          <w:rFonts w:ascii="Times New Roman" w:hAnsi="Times New Roman" w:cs="Times New Roman"/>
          <w:sz w:val="24"/>
          <w:szCs w:val="24"/>
          <w:lang w:val="el-GR"/>
        </w:rPr>
      </w:pPr>
      <w:r w:rsidRPr="00AA5089">
        <w:rPr>
          <w:rFonts w:ascii="Times New Roman" w:hAnsi="Times New Roman" w:cs="Times New Roman"/>
          <w:sz w:val="24"/>
          <w:szCs w:val="24"/>
          <w:lang w:val="el-GR"/>
        </w:rPr>
        <w:lastRenderedPageBreak/>
        <w:t>Στόχο</w:t>
      </w:r>
      <w:r w:rsidR="00D33896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ς του σεμιναρίου ήταν 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>η</w:t>
      </w:r>
      <w:bookmarkStart w:id="1" w:name="_GoBack"/>
      <w:bookmarkEnd w:id="1"/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υποστήριξη και ενδυνάμωση όλων των εκπαιδευτικών για τη βελτίωση της διδασκαλίας της γλώσσας και την ανάπτυξη </w:t>
      </w:r>
      <w:proofErr w:type="spellStart"/>
      <w:r w:rsidRPr="00AA5089">
        <w:rPr>
          <w:rFonts w:ascii="Times New Roman" w:hAnsi="Times New Roman" w:cs="Times New Roman"/>
          <w:sz w:val="24"/>
          <w:szCs w:val="24"/>
          <w:lang w:val="el-GR"/>
        </w:rPr>
        <w:t>πολυγλωσσικών</w:t>
      </w:r>
      <w:proofErr w:type="spellEnd"/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και διαπολιτισμικών ικανοτήτων για όλους τους μαθητές. Επιπρόσθετα, το σεμινάριο στόχευε στην ενίσχυση της επίγνωσης των εκπαιδευτικών για την αξία της πολυγλωσσίας και </w:t>
      </w:r>
      <w:r w:rsidR="00C8785F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της 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ανάπτυξη</w:t>
      </w:r>
      <w:r w:rsidR="00C8785F" w:rsidRPr="00AA5089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πολιτικών, στρατηγικών και πρακτικών για ολόκληρο το σχολείο</w:t>
      </w:r>
      <w:r w:rsidR="00666694" w:rsidRPr="00AA508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8785F"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προκειμένου 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να </w:t>
      </w:r>
      <w:r w:rsidR="00C8785F" w:rsidRPr="00AA5089">
        <w:rPr>
          <w:rFonts w:ascii="Times New Roman" w:hAnsi="Times New Roman" w:cs="Times New Roman"/>
          <w:sz w:val="24"/>
          <w:szCs w:val="24"/>
          <w:lang w:val="el-GR"/>
        </w:rPr>
        <w:t>καλλιεργηθούν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 θετικές στάσεις για τη γλωσσική/πολιτιστική </w:t>
      </w:r>
      <w:r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>πολυμορφία με σκοπό να διευκολύνουν τη συμπερίληψη μαθητών από μεταναστευτικό υπόβαθρο</w:t>
      </w:r>
      <w:r w:rsidR="00666694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>,</w:t>
      </w:r>
      <w:r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 δημιουργώντας μια μάθηση χωρίς αποκλεισμούς</w:t>
      </w:r>
      <w:r w:rsidR="00C8785F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666694" w:rsidRPr="00AA5089" w:rsidRDefault="00C8785F" w:rsidP="00AA5089">
      <w:pPr>
        <w:pStyle w:val="TableParagraph"/>
        <w:spacing w:line="360" w:lineRule="auto"/>
        <w:ind w:left="110" w:right="-57" w:firstLine="610"/>
        <w:jc w:val="both"/>
        <w:rPr>
          <w:rStyle w:val="rynqvb"/>
          <w:rFonts w:ascii="Times New Roman" w:hAnsi="Times New Roman" w:cs="Times New Roman"/>
          <w:sz w:val="24"/>
          <w:szCs w:val="24"/>
          <w:lang w:val="el-GR"/>
        </w:rPr>
      </w:pPr>
      <w:r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Στο σεμινάριο παρουσιάστηκαν προγράμματα και καλές πρακτικές διαχείρισης της πολυγλωσσίας, </w:t>
      </w:r>
      <w:r w:rsidR="00666694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καθώς </w:t>
      </w:r>
      <w:r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και εργαλεία σημαντικά για την υποστήριξη και ενδυνάμωση μαθητών από διαφορετικά γλωσσικά περιβάλλοντα. </w:t>
      </w:r>
    </w:p>
    <w:p w:rsidR="00666694" w:rsidRPr="00AA5089" w:rsidRDefault="00C8785F" w:rsidP="00AA5089">
      <w:pPr>
        <w:pStyle w:val="TableParagraph"/>
        <w:spacing w:line="360" w:lineRule="auto"/>
        <w:ind w:left="110" w:right="-57" w:firstLine="610"/>
        <w:jc w:val="both"/>
        <w:rPr>
          <w:rStyle w:val="rynqvb"/>
          <w:rFonts w:ascii="Times New Roman" w:hAnsi="Times New Roman" w:cs="Times New Roman"/>
          <w:sz w:val="24"/>
          <w:szCs w:val="24"/>
          <w:lang w:val="el-GR"/>
        </w:rPr>
      </w:pPr>
      <w:r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Η  </w:t>
      </w:r>
      <w:r w:rsidRPr="00AA5089">
        <w:rPr>
          <w:rFonts w:ascii="Times New Roman" w:hAnsi="Times New Roman" w:cs="Times New Roman"/>
          <w:sz w:val="24"/>
          <w:szCs w:val="24"/>
          <w:lang w:val="el-GR"/>
        </w:rPr>
        <w:t xml:space="preserve">Περιφερειακή Διεύθυνση Εκπαίδευσης Κρήτης </w:t>
      </w:r>
      <w:r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αξιοποιώντας αυτή την εμπειρία και εμπλουτίζοντάς την με τα αποτελέσματα από σχετικά ερευνητικά κι ευρωπαϊκά προγράμματα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 </w:t>
      </w:r>
      <w:r w:rsid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στα οποία συμμετέχει 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(</w:t>
      </w:r>
      <w:r w:rsid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Immerse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-</w:t>
      </w:r>
      <w:r w:rsid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Horizon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 2020, </w:t>
      </w:r>
      <w:r w:rsid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Safer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-</w:t>
      </w:r>
      <w:r w:rsid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Erasmus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 </w:t>
      </w:r>
      <w:r w:rsid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KA</w:t>
      </w:r>
      <w:r w:rsidR="00BD6864" w:rsidRPr="00BD686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3)</w:t>
      </w:r>
      <w:r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, θα προτείνει δράσεις δικτύωσης για εκπαιδευτικούς που ασχολούνται με θέματα </w:t>
      </w:r>
      <w:r w:rsidR="00BD6864"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συμπερίληψης</w:t>
      </w:r>
      <w:r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, </w:t>
      </w:r>
      <w:r w:rsidR="00BD6864"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πολυγλωσσίας </w:t>
      </w:r>
      <w:r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 xml:space="preserve">και </w:t>
      </w:r>
      <w:proofErr w:type="spellStart"/>
      <w:r w:rsidR="00666694"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δια</w:t>
      </w:r>
      <w:r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πολιτισμικότητας</w:t>
      </w:r>
      <w:proofErr w:type="spellEnd"/>
      <w:r w:rsidR="00666694" w:rsidRPr="00AA508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l-GR"/>
        </w:rPr>
        <w:t>.</w:t>
      </w:r>
      <w:r w:rsidR="00666694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 Η χάραξη μιας </w:t>
      </w:r>
      <w:proofErr w:type="spellStart"/>
      <w:r w:rsidR="00666694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>στοχευμένης</w:t>
      </w:r>
      <w:proofErr w:type="spellEnd"/>
      <w:r w:rsidR="00666694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 εκπαιδευτικής πολιτικής και η</w:t>
      </w:r>
      <w:r w:rsidR="00BF0B7A">
        <w:rPr>
          <w:rStyle w:val="rynqvb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66694" w:rsidRPr="00AA5089">
        <w:rPr>
          <w:rStyle w:val="rynqvb"/>
          <w:rFonts w:ascii="Times New Roman" w:hAnsi="Times New Roman" w:cs="Times New Roman"/>
          <w:sz w:val="24"/>
          <w:szCs w:val="24"/>
          <w:lang w:val="el-GR"/>
        </w:rPr>
        <w:t>ανάπτυξη δικτύων σε τοπικό, περιφερειακό, ευρωπαϊκό και διεθνές επίπεδο αποτελεί μια πρόκληση, καθώς είναι γνωστό ότι η ανταλλαγή εμπειριών, πρακτικών ή στρατηγικών δίνει ευκαιρίες να διευρύνει τον ορίζοντα και να θέσει τις βάσεις για τη δημιουργία ενός παγκόσμιου αποθετηρίου που θα εμπλουτιστείμε κοινή χρήση.</w:t>
      </w:r>
    </w:p>
    <w:p w:rsidR="00666694" w:rsidRPr="00AA5089" w:rsidRDefault="00666694" w:rsidP="00AA5089">
      <w:pPr>
        <w:spacing w:after="0" w:line="360" w:lineRule="auto"/>
        <w:ind w:right="-5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:rsidR="00C8785F" w:rsidRPr="00AA5089" w:rsidRDefault="00C8785F" w:rsidP="00AA5089">
      <w:pPr>
        <w:pStyle w:val="TableParagraph"/>
        <w:spacing w:line="360" w:lineRule="auto"/>
        <w:ind w:left="110" w:right="-57"/>
        <w:jc w:val="both"/>
        <w:rPr>
          <w:rStyle w:val="rynqvb"/>
          <w:rFonts w:ascii="Times New Roman" w:hAnsi="Times New Roman" w:cs="Times New Roman"/>
          <w:sz w:val="24"/>
          <w:szCs w:val="24"/>
          <w:lang w:val="el-GR"/>
        </w:rPr>
      </w:pPr>
    </w:p>
    <w:p w:rsidR="00C8785F" w:rsidRPr="00AA5089" w:rsidRDefault="00C8785F" w:rsidP="00AA5089">
      <w:pPr>
        <w:pStyle w:val="TableParagraph"/>
        <w:spacing w:line="360" w:lineRule="auto"/>
        <w:ind w:left="110" w:right="-57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82996" w:rsidRPr="00AA5089" w:rsidRDefault="00182996" w:rsidP="00AA5089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182996" w:rsidRPr="00AA5089" w:rsidRDefault="00182996" w:rsidP="00AA5089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sectPr w:rsidR="00182996" w:rsidRPr="00AA5089" w:rsidSect="002E0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savePreviewPicture/>
  <w:compat/>
  <w:rsids>
    <w:rsidRoot w:val="00182996"/>
    <w:rsid w:val="00105729"/>
    <w:rsid w:val="00182996"/>
    <w:rsid w:val="0024097D"/>
    <w:rsid w:val="002615EC"/>
    <w:rsid w:val="002E0CCB"/>
    <w:rsid w:val="002E52A3"/>
    <w:rsid w:val="003306AE"/>
    <w:rsid w:val="003C2EBE"/>
    <w:rsid w:val="00600CDE"/>
    <w:rsid w:val="00666694"/>
    <w:rsid w:val="0083144F"/>
    <w:rsid w:val="00893D59"/>
    <w:rsid w:val="009714CE"/>
    <w:rsid w:val="00A9717F"/>
    <w:rsid w:val="00AA5089"/>
    <w:rsid w:val="00BD6864"/>
    <w:rsid w:val="00BF0B7A"/>
    <w:rsid w:val="00C8785F"/>
    <w:rsid w:val="00D33896"/>
    <w:rsid w:val="00D87020"/>
    <w:rsid w:val="00D942B9"/>
    <w:rsid w:val="00F11D3D"/>
    <w:rsid w:val="00F4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0CDE"/>
    <w:pPr>
      <w:widowControl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  <w:lang w:val="en-US"/>
    </w:rPr>
  </w:style>
  <w:style w:type="character" w:customStyle="1" w:styleId="rynqvb">
    <w:name w:val="rynqvb"/>
    <w:basedOn w:val="a0"/>
    <w:rsid w:val="00600CDE"/>
  </w:style>
  <w:style w:type="character" w:customStyle="1" w:styleId="hwtze">
    <w:name w:val="hwtze"/>
    <w:basedOn w:val="a0"/>
    <w:rsid w:val="00C8785F"/>
  </w:style>
  <w:style w:type="table" w:customStyle="1" w:styleId="1">
    <w:name w:val="Πλέγμα πίνακα1"/>
    <w:basedOn w:val="a1"/>
    <w:uiPriority w:val="59"/>
    <w:rsid w:val="00AA50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pdeuser</cp:lastModifiedBy>
  <cp:revision>13</cp:revision>
  <cp:lastPrinted>2022-12-19T12:22:00Z</cp:lastPrinted>
  <dcterms:created xsi:type="dcterms:W3CDTF">2022-12-17T07:33:00Z</dcterms:created>
  <dcterms:modified xsi:type="dcterms:W3CDTF">2022-12-19T12:45:00Z</dcterms:modified>
</cp:coreProperties>
</file>