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78" w:rsidRDefault="00812443" w:rsidP="004143B5">
      <w:pPr>
        <w:tabs>
          <w:tab w:val="left" w:pos="1440"/>
          <w:tab w:val="center" w:pos="6840"/>
        </w:tabs>
        <w:jc w:val="center"/>
      </w:pPr>
      <w:r>
        <w:rPr>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122.4pt;margin-top:-4.35pt;width:221.55pt;height:131.8pt;z-index:251660288;mso-width-relative:margin;mso-height-relative:margin" stroked="f">
            <v:textbox>
              <w:txbxContent>
                <w:p w:rsidR="004143B5" w:rsidRDefault="00812443" w:rsidP="00781645">
                  <w:pPr>
                    <w:pStyle w:val="5"/>
                    <w:tabs>
                      <w:tab w:val="center" w:pos="1980"/>
                      <w:tab w:val="center" w:pos="6840"/>
                    </w:tabs>
                    <w:spacing w:before="0" w:after="0"/>
                    <w:ind w:left="1418" w:hanging="1418"/>
                    <w:jc w:val="center"/>
                    <w:rPr>
                      <w:rFonts w:ascii="Calibri" w:hAnsi="Calibri" w:cs="Arial"/>
                      <w:i w:val="0"/>
                      <w:sz w:val="24"/>
                      <w:szCs w:val="24"/>
                    </w:rPr>
                  </w:pPr>
                  <w:r w:rsidRPr="00812443">
                    <w:rPr>
                      <w:rFonts w:cs="Arial"/>
                      <w:b w:val="0"/>
                      <w:bCs w:val="0"/>
                      <w:i w:val="0"/>
                      <w:iCs w:val="0"/>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6" type="#_x0000_t75" alt="Εθνόσημο-θηραιος" style="width:40.35pt;height:37.65pt;visibility:visible">
                        <v:imagedata r:id="rId7" o:title=""/>
                      </v:shape>
                    </w:pict>
                  </w:r>
                </w:p>
                <w:p w:rsidR="004143B5" w:rsidRDefault="004143B5" w:rsidP="00781645">
                  <w:pPr>
                    <w:pStyle w:val="5"/>
                    <w:tabs>
                      <w:tab w:val="center" w:pos="1980"/>
                      <w:tab w:val="center" w:pos="6840"/>
                    </w:tabs>
                    <w:spacing w:before="0" w:after="0"/>
                    <w:ind w:left="1418" w:hanging="1418"/>
                    <w:jc w:val="center"/>
                    <w:rPr>
                      <w:rFonts w:ascii="Calibri" w:hAnsi="Calibri" w:cs="Arial"/>
                      <w:bCs w:val="0"/>
                      <w:i w:val="0"/>
                      <w:sz w:val="24"/>
                      <w:szCs w:val="24"/>
                    </w:rPr>
                  </w:pPr>
                  <w:r>
                    <w:rPr>
                      <w:rFonts w:ascii="Calibri" w:hAnsi="Calibri" w:cs="Arial"/>
                      <w:i w:val="0"/>
                      <w:sz w:val="24"/>
                      <w:szCs w:val="24"/>
                    </w:rPr>
                    <w:t>ΕΛΛΗΝΙΚΗ ΔΗΜΟΚΡΑΤΙΑ</w:t>
                  </w:r>
                </w:p>
                <w:p w:rsidR="004143B5" w:rsidRPr="004143B5" w:rsidRDefault="004143B5" w:rsidP="00781645">
                  <w:pPr>
                    <w:tabs>
                      <w:tab w:val="center" w:pos="1980"/>
                      <w:tab w:val="center" w:pos="6840"/>
                    </w:tabs>
                    <w:ind w:left="1418" w:hanging="1418"/>
                    <w:jc w:val="center"/>
                    <w:rPr>
                      <w:rFonts w:cs="Arial"/>
                      <w:b/>
                      <w:bCs/>
                    </w:rPr>
                  </w:pPr>
                  <w:r>
                    <w:rPr>
                      <w:rFonts w:cs="Arial"/>
                      <w:b/>
                    </w:rPr>
                    <w:t>ΥΠΟΥΡΓΕΙΟ ΠΑΙΔΕΙΑΣ &amp; ΘΡΗΣΚΕΥΜΑΤΩΝ</w:t>
                  </w:r>
                </w:p>
                <w:p w:rsidR="004143B5" w:rsidRDefault="004143B5" w:rsidP="00781645">
                  <w:pPr>
                    <w:tabs>
                      <w:tab w:val="center" w:pos="1980"/>
                      <w:tab w:val="center" w:pos="6840"/>
                    </w:tabs>
                    <w:ind w:left="1418" w:hanging="1418"/>
                    <w:jc w:val="center"/>
                    <w:rPr>
                      <w:rFonts w:cs="Arial"/>
                      <w:b/>
                    </w:rPr>
                  </w:pPr>
                  <w:r>
                    <w:rPr>
                      <w:rFonts w:cs="Arial"/>
                      <w:b/>
                    </w:rPr>
                    <w:t>ΠΕΡΙΦΕΡΕΙΑΚΗ Δ/ΝΣΗ Α/ΘΜΙΑΣ &amp; Β/ΘΜΙΑΣ</w:t>
                  </w:r>
                </w:p>
                <w:p w:rsidR="004143B5" w:rsidRDefault="004143B5" w:rsidP="00781645">
                  <w:pPr>
                    <w:tabs>
                      <w:tab w:val="center" w:pos="1980"/>
                      <w:tab w:val="center" w:pos="6840"/>
                    </w:tabs>
                    <w:ind w:left="1418" w:hanging="1418"/>
                    <w:jc w:val="center"/>
                    <w:rPr>
                      <w:rFonts w:cs="Arial"/>
                      <w:b/>
                    </w:rPr>
                  </w:pPr>
                  <w:r>
                    <w:rPr>
                      <w:rFonts w:cs="Arial"/>
                      <w:b/>
                    </w:rPr>
                    <w:t>ΕΚΠ/ΣΗΣ ΚΡΗΤΗΣ</w:t>
                  </w:r>
                </w:p>
                <w:p w:rsidR="004143B5" w:rsidRDefault="004143B5" w:rsidP="00781645">
                  <w:pPr>
                    <w:tabs>
                      <w:tab w:val="center" w:pos="1980"/>
                      <w:tab w:val="center" w:pos="6840"/>
                    </w:tabs>
                    <w:ind w:left="1418" w:hanging="1418"/>
                    <w:jc w:val="center"/>
                    <w:rPr>
                      <w:rFonts w:cs="Arial"/>
                      <w:b/>
                    </w:rPr>
                  </w:pPr>
                  <w:r>
                    <w:rPr>
                      <w:rFonts w:cs="Arial"/>
                      <w:b/>
                    </w:rPr>
                    <w:t>Δ/ΝΣΗ Π/ΘΜΙΑΣ ΕΚΠ/ΣΗΣ ΗΡΑΚΛΕΙΟΥ</w:t>
                  </w:r>
                </w:p>
                <w:p w:rsidR="004143B5" w:rsidRDefault="004143B5" w:rsidP="00781645">
                  <w:pPr>
                    <w:jc w:val="center"/>
                  </w:pPr>
                </w:p>
              </w:txbxContent>
            </v:textbox>
          </v:shape>
        </w:pict>
      </w:r>
    </w:p>
    <w:p w:rsidR="00E94578" w:rsidRDefault="00E94578" w:rsidP="004143B5">
      <w:pPr>
        <w:tabs>
          <w:tab w:val="left" w:pos="1440"/>
          <w:tab w:val="left" w:pos="7260"/>
          <w:tab w:val="center" w:pos="8080"/>
        </w:tabs>
        <w:rPr>
          <w:rFonts w:cs="Arial"/>
          <w:snapToGrid w:val="0"/>
        </w:rPr>
      </w:pPr>
    </w:p>
    <w:p w:rsidR="00E94578" w:rsidRDefault="00E94578" w:rsidP="00A420F1">
      <w:pPr>
        <w:jc w:val="both"/>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E94578" w:rsidRPr="007A6626" w:rsidRDefault="00CD2B13" w:rsidP="00781645">
      <w:pPr>
        <w:widowControl w:val="0"/>
        <w:tabs>
          <w:tab w:val="left" w:pos="0"/>
          <w:tab w:val="center" w:pos="6840"/>
        </w:tabs>
        <w:jc w:val="center"/>
        <w:rPr>
          <w:rFonts w:eastAsiaTheme="minorEastAsia" w:cstheme="minorBidi"/>
          <w:u w:val="single"/>
        </w:rPr>
      </w:pPr>
      <w:r>
        <w:rPr>
          <w:rFonts w:eastAsiaTheme="minorEastAsia" w:cstheme="minorBidi"/>
          <w:u w:val="single"/>
        </w:rPr>
        <w:t>ΔΕΛΤΙΟ ΤΥΠΟΥ</w:t>
      </w:r>
    </w:p>
    <w:p w:rsidR="00E94578" w:rsidRDefault="00E94578" w:rsidP="00A420F1">
      <w:pPr>
        <w:ind w:left="1134"/>
        <w:jc w:val="center"/>
      </w:pPr>
    </w:p>
    <w:p w:rsidR="00F63114" w:rsidRPr="00F63114" w:rsidRDefault="00781645" w:rsidP="00F63114">
      <w:pPr>
        <w:ind w:left="851" w:hanging="851"/>
        <w:jc w:val="both"/>
        <w:rPr>
          <w:b/>
        </w:rPr>
      </w:pPr>
      <w:r>
        <w:rPr>
          <w:b/>
        </w:rPr>
        <w:t>Θέμα</w:t>
      </w:r>
      <w:r w:rsidR="00F63114">
        <w:rPr>
          <w:b/>
        </w:rPr>
        <w:t>τα</w:t>
      </w:r>
      <w:r>
        <w:rPr>
          <w:b/>
        </w:rPr>
        <w:t xml:space="preserve">: </w:t>
      </w:r>
      <w:r w:rsidR="00F63114" w:rsidRPr="00F63114">
        <w:rPr>
          <w:b/>
        </w:rPr>
        <w:t>α) Διορισμοί εκπαιδευτικών – καλωσόρισμα και προγραμματισμός δραστηριοτήτων ενόψει της έναρξης της σχολικής χρονιάς από τη Διεύθυνση Πρωτοβάθμιας Εκπαίδευσης Ηρακλείου</w:t>
      </w:r>
      <w:bookmarkStart w:id="0" w:name="_GoBack"/>
      <w:bookmarkEnd w:id="0"/>
      <w:r w:rsidR="00F63114" w:rsidRPr="00F63114">
        <w:rPr>
          <w:b/>
        </w:rPr>
        <w:t xml:space="preserve">, </w:t>
      </w:r>
      <w:r w:rsidR="00F63114" w:rsidRPr="00F63114">
        <w:rPr>
          <w:b/>
        </w:rPr>
        <w:br/>
        <w:t>β) Ενημερωτική συνάντηση του Διευθυντή Π.Ε. Ηρακλείου με τους προέδρους των Συλλόγων Εκπαιδευτικών Ν. Ηρακλείου.</w:t>
      </w:r>
    </w:p>
    <w:p w:rsidR="00E94578" w:rsidRPr="001479DD" w:rsidRDefault="00E94578" w:rsidP="00F63114">
      <w:pPr>
        <w:jc w:val="both"/>
        <w:rPr>
          <w:b/>
        </w:rPr>
      </w:pPr>
    </w:p>
    <w:p w:rsidR="00705C8D" w:rsidRPr="00705C8D" w:rsidRDefault="00705C8D" w:rsidP="00705C8D">
      <w:pPr>
        <w:jc w:val="both"/>
      </w:pPr>
      <w:r w:rsidRPr="00705C8D">
        <w:t xml:space="preserve">α) Ο Διευθυντής Πρωτοβάθμιας Εκπαίδευσης Ηρακλείου κ. Μανόλης </w:t>
      </w:r>
      <w:proofErr w:type="spellStart"/>
      <w:r w:rsidRPr="00705C8D">
        <w:t>Μπελαδάκης</w:t>
      </w:r>
      <w:proofErr w:type="spellEnd"/>
      <w:r w:rsidRPr="00705C8D">
        <w:t xml:space="preserve"> με ιδιαίτερη χαρά καλωσορίζει τους νεοδιόριστους συναδέλφους και τους εύχεται καλό ξεκίνημα στη νέα τους διαδρομή που έχει ως αφετηρία το νομό Ηρακλείου. Η Διεύθυνση Πρωτοβάθμιας Εκπαίδευσης Ηρακλείου θα καταβάλει κάθε προσπάθεια ώστε η έναρξη της νέας σχολικής χρονιάς να ξεκινήσει με τις καλύτερες προϋποθέσεις δίνοντας έμφαση σε όλα εκείνα τα ποιοτικά χαρακτηριστικά που απαιτούνται για την επιτυχία αυτού του εγχειρήματος. </w:t>
      </w:r>
    </w:p>
    <w:p w:rsidR="00705C8D" w:rsidRPr="00705C8D" w:rsidRDefault="00705C8D" w:rsidP="00705C8D">
      <w:pPr>
        <w:jc w:val="both"/>
      </w:pPr>
    </w:p>
    <w:p w:rsidR="00705C8D" w:rsidRPr="00705C8D" w:rsidRDefault="00705C8D" w:rsidP="00705C8D">
      <w:pPr>
        <w:jc w:val="both"/>
      </w:pPr>
      <w:r w:rsidRPr="00705C8D">
        <w:t>Μετά από 12 χρόνια, για πρώτη φορά έχουμε την πραγματοποίηση 11700 μόνιμων διορισμών στη Γενική Αγωγή στην Πρωτοβάθμια και Δευτεροβάθμια Εκπαίδευση. Οι διορισμοί αυτοί έρχονται να προστεθούν στους 3445 διορισμούς που πραγματοποιήθηκαν πέρσι στην Ειδική Αγωγή, υλοποιώντας τη δέσμευση της κυβέρνησης και της Υπουργού Παιδείας ότι μετά από τόσα χρόνια αδιοριστίας θα έχουμε την είσοδο μόνιμων εκπαιδευτικών στις δυο βαθμίδες της εκπαίδευσης.</w:t>
      </w:r>
    </w:p>
    <w:p w:rsidR="00705C8D" w:rsidRPr="00705C8D" w:rsidRDefault="00705C8D" w:rsidP="00705C8D">
      <w:pPr>
        <w:jc w:val="both"/>
      </w:pPr>
    </w:p>
    <w:p w:rsidR="00705C8D" w:rsidRPr="00705C8D" w:rsidRDefault="00705C8D" w:rsidP="00705C8D">
      <w:pPr>
        <w:jc w:val="both"/>
      </w:pPr>
      <w:r w:rsidRPr="00705C8D">
        <w:t>Ήδη ανακοινώθηκε η τοποθέτηση 479 εκπαιδευτικών στη Διεύθυνση Πρωτοβάθμιας Εκπαίδευσης Ηρακλείου ως εξής:</w:t>
      </w:r>
    </w:p>
    <w:p w:rsidR="00705C8D" w:rsidRPr="00705C8D" w:rsidRDefault="00705C8D" w:rsidP="00705C8D">
      <w:pPr>
        <w:jc w:val="both"/>
      </w:pPr>
    </w:p>
    <w:tbl>
      <w:tblPr>
        <w:tblW w:w="6101" w:type="dxa"/>
        <w:jc w:val="center"/>
        <w:tblInd w:w="97" w:type="dxa"/>
        <w:tblLook w:val="04A0"/>
      </w:tblPr>
      <w:tblGrid>
        <w:gridCol w:w="1072"/>
        <w:gridCol w:w="1619"/>
        <w:gridCol w:w="1860"/>
        <w:gridCol w:w="1550"/>
      </w:tblGrid>
      <w:tr w:rsidR="00705C8D" w:rsidRPr="00705C8D" w:rsidTr="00C66001">
        <w:trPr>
          <w:trHeight w:val="300"/>
          <w:jc w:val="center"/>
        </w:trPr>
        <w:tc>
          <w:tcPr>
            <w:tcW w:w="2691" w:type="dxa"/>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rsidR="00705C8D" w:rsidRPr="00705C8D" w:rsidRDefault="00705C8D" w:rsidP="00705C8D">
            <w:pPr>
              <w:jc w:val="center"/>
              <w:rPr>
                <w:b/>
                <w:bCs/>
              </w:rPr>
            </w:pPr>
            <w:r w:rsidRPr="00705C8D">
              <w:rPr>
                <w:b/>
                <w:bCs/>
              </w:rPr>
              <w:t>ΚΛΑΔΟΣ</w:t>
            </w:r>
          </w:p>
        </w:tc>
        <w:tc>
          <w:tcPr>
            <w:tcW w:w="1860" w:type="dxa"/>
            <w:tcBorders>
              <w:top w:val="single" w:sz="4" w:space="0" w:color="auto"/>
              <w:left w:val="nil"/>
              <w:bottom w:val="single" w:sz="4" w:space="0" w:color="auto"/>
              <w:right w:val="single" w:sz="4" w:space="0" w:color="auto"/>
            </w:tcBorders>
            <w:shd w:val="clear" w:color="000000" w:fill="FFFF00"/>
            <w:vAlign w:val="center"/>
            <w:hideMark/>
          </w:tcPr>
          <w:p w:rsidR="00705C8D" w:rsidRPr="00705C8D" w:rsidRDefault="00705C8D" w:rsidP="00705C8D">
            <w:pPr>
              <w:jc w:val="center"/>
              <w:rPr>
                <w:b/>
                <w:bCs/>
              </w:rPr>
            </w:pPr>
            <w:r w:rsidRPr="00705C8D">
              <w:rPr>
                <w:b/>
                <w:bCs/>
              </w:rPr>
              <w:t>ΠΕΡΙΟΧΗ</w:t>
            </w:r>
          </w:p>
        </w:tc>
        <w:tc>
          <w:tcPr>
            <w:tcW w:w="1550" w:type="dxa"/>
            <w:tcBorders>
              <w:top w:val="single" w:sz="4" w:space="0" w:color="auto"/>
              <w:left w:val="nil"/>
              <w:bottom w:val="single" w:sz="4" w:space="0" w:color="auto"/>
              <w:right w:val="single" w:sz="4" w:space="0" w:color="auto"/>
            </w:tcBorders>
            <w:shd w:val="clear" w:color="000000" w:fill="FFFF00"/>
            <w:vAlign w:val="center"/>
            <w:hideMark/>
          </w:tcPr>
          <w:p w:rsidR="00705C8D" w:rsidRPr="00705C8D" w:rsidRDefault="00705C8D" w:rsidP="00705C8D">
            <w:pPr>
              <w:jc w:val="center"/>
              <w:rPr>
                <w:b/>
                <w:bCs/>
              </w:rPr>
            </w:pPr>
            <w:r w:rsidRPr="00705C8D">
              <w:rPr>
                <w:b/>
                <w:bCs/>
              </w:rPr>
              <w:t>ΠΡΟΣΛΗΨΕΙΣ</w:t>
            </w:r>
          </w:p>
        </w:tc>
      </w:tr>
      <w:tr w:rsidR="00705C8D" w:rsidRPr="00705C8D" w:rsidTr="00C66001">
        <w:trPr>
          <w:trHeight w:val="300"/>
          <w:jc w:val="center"/>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rsidR="00705C8D" w:rsidRPr="00705C8D" w:rsidRDefault="00705C8D" w:rsidP="00705C8D">
            <w:pPr>
              <w:jc w:val="both"/>
            </w:pPr>
            <w:r w:rsidRPr="00705C8D">
              <w:t>ΠΕ05</w:t>
            </w:r>
          </w:p>
        </w:tc>
        <w:tc>
          <w:tcPr>
            <w:tcW w:w="1619" w:type="dxa"/>
            <w:tcBorders>
              <w:top w:val="nil"/>
              <w:left w:val="nil"/>
              <w:bottom w:val="single" w:sz="4" w:space="0" w:color="auto"/>
              <w:right w:val="single" w:sz="4" w:space="0" w:color="auto"/>
            </w:tcBorders>
            <w:shd w:val="clear" w:color="auto" w:fill="auto"/>
            <w:noWrap/>
            <w:vAlign w:val="center"/>
            <w:hideMark/>
          </w:tcPr>
          <w:p w:rsidR="00705C8D" w:rsidRPr="00705C8D" w:rsidRDefault="00705C8D" w:rsidP="00705C8D">
            <w:pPr>
              <w:jc w:val="both"/>
            </w:pPr>
            <w:r w:rsidRPr="00705C8D">
              <w:t>Γαλλικών</w:t>
            </w:r>
          </w:p>
        </w:tc>
        <w:tc>
          <w:tcPr>
            <w:tcW w:w="1860" w:type="dxa"/>
            <w:tcBorders>
              <w:top w:val="nil"/>
              <w:left w:val="nil"/>
              <w:bottom w:val="single" w:sz="4" w:space="0" w:color="auto"/>
              <w:right w:val="single" w:sz="4" w:space="0" w:color="auto"/>
            </w:tcBorders>
            <w:shd w:val="clear" w:color="auto" w:fill="auto"/>
            <w:noWrap/>
            <w:vAlign w:val="center"/>
            <w:hideMark/>
          </w:tcPr>
          <w:p w:rsidR="00705C8D" w:rsidRPr="00705C8D" w:rsidRDefault="00705C8D" w:rsidP="00705C8D">
            <w:pPr>
              <w:jc w:val="both"/>
            </w:pPr>
            <w:r w:rsidRPr="00705C8D">
              <w:t>ΗΡΑΚΛΕΙΟΥ (Π.Ε.)</w:t>
            </w:r>
          </w:p>
        </w:tc>
        <w:tc>
          <w:tcPr>
            <w:tcW w:w="1550" w:type="dxa"/>
            <w:tcBorders>
              <w:top w:val="nil"/>
              <w:left w:val="nil"/>
              <w:bottom w:val="single" w:sz="4" w:space="0" w:color="auto"/>
              <w:right w:val="single" w:sz="4" w:space="0" w:color="auto"/>
            </w:tcBorders>
            <w:shd w:val="clear" w:color="auto" w:fill="auto"/>
            <w:noWrap/>
            <w:vAlign w:val="center"/>
            <w:hideMark/>
          </w:tcPr>
          <w:p w:rsidR="00705C8D" w:rsidRPr="00705C8D" w:rsidRDefault="00705C8D" w:rsidP="00705C8D">
            <w:pPr>
              <w:jc w:val="center"/>
            </w:pPr>
            <w:r w:rsidRPr="00705C8D">
              <w:t>2</w:t>
            </w:r>
          </w:p>
        </w:tc>
      </w:tr>
      <w:tr w:rsidR="00705C8D" w:rsidRPr="00705C8D" w:rsidTr="00C66001">
        <w:trPr>
          <w:trHeight w:val="300"/>
          <w:jc w:val="center"/>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rsidR="00705C8D" w:rsidRPr="00705C8D" w:rsidRDefault="00705C8D" w:rsidP="00705C8D">
            <w:pPr>
              <w:jc w:val="both"/>
            </w:pPr>
            <w:r w:rsidRPr="00705C8D">
              <w:t>ΠΕ06</w:t>
            </w:r>
          </w:p>
        </w:tc>
        <w:tc>
          <w:tcPr>
            <w:tcW w:w="1619" w:type="dxa"/>
            <w:tcBorders>
              <w:top w:val="nil"/>
              <w:left w:val="nil"/>
              <w:bottom w:val="single" w:sz="4" w:space="0" w:color="auto"/>
              <w:right w:val="single" w:sz="4" w:space="0" w:color="auto"/>
            </w:tcBorders>
            <w:shd w:val="clear" w:color="auto" w:fill="auto"/>
            <w:noWrap/>
            <w:vAlign w:val="center"/>
            <w:hideMark/>
          </w:tcPr>
          <w:p w:rsidR="00705C8D" w:rsidRPr="00705C8D" w:rsidRDefault="00705C8D" w:rsidP="00705C8D">
            <w:pPr>
              <w:jc w:val="both"/>
            </w:pPr>
            <w:r w:rsidRPr="00705C8D">
              <w:t>Αγγλικών</w:t>
            </w:r>
          </w:p>
        </w:tc>
        <w:tc>
          <w:tcPr>
            <w:tcW w:w="1860" w:type="dxa"/>
            <w:tcBorders>
              <w:top w:val="nil"/>
              <w:left w:val="nil"/>
              <w:bottom w:val="single" w:sz="4" w:space="0" w:color="auto"/>
              <w:right w:val="single" w:sz="4" w:space="0" w:color="auto"/>
            </w:tcBorders>
            <w:shd w:val="clear" w:color="auto" w:fill="auto"/>
            <w:noWrap/>
            <w:vAlign w:val="center"/>
            <w:hideMark/>
          </w:tcPr>
          <w:p w:rsidR="00705C8D" w:rsidRPr="00705C8D" w:rsidRDefault="00705C8D" w:rsidP="00705C8D">
            <w:pPr>
              <w:jc w:val="both"/>
            </w:pPr>
            <w:r w:rsidRPr="00705C8D">
              <w:t>ΗΡΑΚΛΕΙΟΥ (Π.Ε.)</w:t>
            </w:r>
          </w:p>
        </w:tc>
        <w:tc>
          <w:tcPr>
            <w:tcW w:w="1550" w:type="dxa"/>
            <w:tcBorders>
              <w:top w:val="nil"/>
              <w:left w:val="nil"/>
              <w:bottom w:val="single" w:sz="4" w:space="0" w:color="auto"/>
              <w:right w:val="single" w:sz="4" w:space="0" w:color="auto"/>
            </w:tcBorders>
            <w:shd w:val="clear" w:color="auto" w:fill="auto"/>
            <w:noWrap/>
            <w:vAlign w:val="center"/>
            <w:hideMark/>
          </w:tcPr>
          <w:p w:rsidR="00705C8D" w:rsidRPr="00705C8D" w:rsidRDefault="00705C8D" w:rsidP="00705C8D">
            <w:pPr>
              <w:jc w:val="center"/>
            </w:pPr>
            <w:r w:rsidRPr="00705C8D">
              <w:t>13</w:t>
            </w:r>
          </w:p>
        </w:tc>
      </w:tr>
      <w:tr w:rsidR="00705C8D" w:rsidRPr="00705C8D" w:rsidTr="00C66001">
        <w:trPr>
          <w:trHeight w:val="300"/>
          <w:jc w:val="center"/>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rsidR="00705C8D" w:rsidRPr="00705C8D" w:rsidRDefault="00705C8D" w:rsidP="00705C8D">
            <w:pPr>
              <w:jc w:val="both"/>
            </w:pPr>
            <w:r w:rsidRPr="00705C8D">
              <w:t>ΠΕ08</w:t>
            </w:r>
          </w:p>
        </w:tc>
        <w:tc>
          <w:tcPr>
            <w:tcW w:w="1619" w:type="dxa"/>
            <w:tcBorders>
              <w:top w:val="nil"/>
              <w:left w:val="nil"/>
              <w:bottom w:val="single" w:sz="4" w:space="0" w:color="auto"/>
              <w:right w:val="single" w:sz="4" w:space="0" w:color="auto"/>
            </w:tcBorders>
            <w:shd w:val="clear" w:color="auto" w:fill="auto"/>
            <w:noWrap/>
            <w:vAlign w:val="center"/>
            <w:hideMark/>
          </w:tcPr>
          <w:p w:rsidR="00705C8D" w:rsidRPr="00705C8D" w:rsidRDefault="00705C8D" w:rsidP="00705C8D">
            <w:pPr>
              <w:jc w:val="both"/>
            </w:pPr>
            <w:r w:rsidRPr="00705C8D">
              <w:t>Καλλιτεχνικών</w:t>
            </w:r>
          </w:p>
        </w:tc>
        <w:tc>
          <w:tcPr>
            <w:tcW w:w="1860" w:type="dxa"/>
            <w:tcBorders>
              <w:top w:val="nil"/>
              <w:left w:val="nil"/>
              <w:bottom w:val="single" w:sz="4" w:space="0" w:color="auto"/>
              <w:right w:val="single" w:sz="4" w:space="0" w:color="auto"/>
            </w:tcBorders>
            <w:shd w:val="clear" w:color="auto" w:fill="auto"/>
            <w:noWrap/>
            <w:vAlign w:val="center"/>
            <w:hideMark/>
          </w:tcPr>
          <w:p w:rsidR="00705C8D" w:rsidRPr="00705C8D" w:rsidRDefault="00705C8D" w:rsidP="00705C8D">
            <w:pPr>
              <w:jc w:val="both"/>
            </w:pPr>
            <w:r w:rsidRPr="00705C8D">
              <w:t>ΗΡΑΚΛΕΙΟΥ (Π.Ε.)</w:t>
            </w:r>
          </w:p>
        </w:tc>
        <w:tc>
          <w:tcPr>
            <w:tcW w:w="1550" w:type="dxa"/>
            <w:tcBorders>
              <w:top w:val="nil"/>
              <w:left w:val="nil"/>
              <w:bottom w:val="single" w:sz="4" w:space="0" w:color="auto"/>
              <w:right w:val="single" w:sz="4" w:space="0" w:color="auto"/>
            </w:tcBorders>
            <w:shd w:val="clear" w:color="auto" w:fill="auto"/>
            <w:noWrap/>
            <w:vAlign w:val="center"/>
            <w:hideMark/>
          </w:tcPr>
          <w:p w:rsidR="00705C8D" w:rsidRPr="00705C8D" w:rsidRDefault="00705C8D" w:rsidP="00705C8D">
            <w:pPr>
              <w:jc w:val="center"/>
            </w:pPr>
            <w:r w:rsidRPr="00705C8D">
              <w:t>19</w:t>
            </w:r>
          </w:p>
        </w:tc>
      </w:tr>
      <w:tr w:rsidR="00705C8D" w:rsidRPr="00705C8D" w:rsidTr="00C66001">
        <w:trPr>
          <w:trHeight w:val="300"/>
          <w:jc w:val="center"/>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rsidR="00705C8D" w:rsidRPr="00705C8D" w:rsidRDefault="00705C8D" w:rsidP="00705C8D">
            <w:pPr>
              <w:jc w:val="both"/>
            </w:pPr>
            <w:r w:rsidRPr="00705C8D">
              <w:t>ΠΕ60</w:t>
            </w:r>
          </w:p>
        </w:tc>
        <w:tc>
          <w:tcPr>
            <w:tcW w:w="1619" w:type="dxa"/>
            <w:tcBorders>
              <w:top w:val="nil"/>
              <w:left w:val="nil"/>
              <w:bottom w:val="single" w:sz="4" w:space="0" w:color="auto"/>
              <w:right w:val="single" w:sz="4" w:space="0" w:color="auto"/>
            </w:tcBorders>
            <w:shd w:val="clear" w:color="auto" w:fill="auto"/>
            <w:noWrap/>
            <w:vAlign w:val="center"/>
            <w:hideMark/>
          </w:tcPr>
          <w:p w:rsidR="00705C8D" w:rsidRPr="00705C8D" w:rsidRDefault="00705C8D" w:rsidP="00705C8D">
            <w:pPr>
              <w:jc w:val="both"/>
            </w:pPr>
            <w:r w:rsidRPr="00705C8D">
              <w:t>Νηπιαγωγών</w:t>
            </w:r>
          </w:p>
        </w:tc>
        <w:tc>
          <w:tcPr>
            <w:tcW w:w="1860" w:type="dxa"/>
            <w:tcBorders>
              <w:top w:val="nil"/>
              <w:left w:val="nil"/>
              <w:bottom w:val="single" w:sz="4" w:space="0" w:color="auto"/>
              <w:right w:val="single" w:sz="4" w:space="0" w:color="auto"/>
            </w:tcBorders>
            <w:shd w:val="clear" w:color="auto" w:fill="auto"/>
            <w:noWrap/>
            <w:vAlign w:val="center"/>
            <w:hideMark/>
          </w:tcPr>
          <w:p w:rsidR="00705C8D" w:rsidRPr="00705C8D" w:rsidRDefault="00705C8D" w:rsidP="00705C8D">
            <w:pPr>
              <w:jc w:val="both"/>
            </w:pPr>
            <w:r w:rsidRPr="00705C8D">
              <w:t>ΗΡΑΚΛΕΙΟΥ (Π.Ε.)</w:t>
            </w:r>
          </w:p>
        </w:tc>
        <w:tc>
          <w:tcPr>
            <w:tcW w:w="1550" w:type="dxa"/>
            <w:tcBorders>
              <w:top w:val="nil"/>
              <w:left w:val="nil"/>
              <w:bottom w:val="single" w:sz="4" w:space="0" w:color="auto"/>
              <w:right w:val="single" w:sz="4" w:space="0" w:color="auto"/>
            </w:tcBorders>
            <w:shd w:val="clear" w:color="auto" w:fill="auto"/>
            <w:noWrap/>
            <w:vAlign w:val="center"/>
            <w:hideMark/>
          </w:tcPr>
          <w:p w:rsidR="00705C8D" w:rsidRPr="00705C8D" w:rsidRDefault="00705C8D" w:rsidP="00705C8D">
            <w:pPr>
              <w:jc w:val="center"/>
            </w:pPr>
            <w:r w:rsidRPr="00705C8D">
              <w:t>142</w:t>
            </w:r>
          </w:p>
        </w:tc>
      </w:tr>
      <w:tr w:rsidR="00705C8D" w:rsidRPr="00705C8D" w:rsidTr="00C66001">
        <w:trPr>
          <w:trHeight w:val="300"/>
          <w:jc w:val="center"/>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rsidR="00705C8D" w:rsidRPr="00705C8D" w:rsidRDefault="00705C8D" w:rsidP="00705C8D">
            <w:pPr>
              <w:jc w:val="both"/>
            </w:pPr>
            <w:r w:rsidRPr="00705C8D">
              <w:t>ΠΕ70</w:t>
            </w:r>
          </w:p>
        </w:tc>
        <w:tc>
          <w:tcPr>
            <w:tcW w:w="1619" w:type="dxa"/>
            <w:tcBorders>
              <w:top w:val="nil"/>
              <w:left w:val="nil"/>
              <w:bottom w:val="single" w:sz="4" w:space="0" w:color="auto"/>
              <w:right w:val="single" w:sz="4" w:space="0" w:color="auto"/>
            </w:tcBorders>
            <w:shd w:val="clear" w:color="auto" w:fill="auto"/>
            <w:noWrap/>
            <w:vAlign w:val="center"/>
            <w:hideMark/>
          </w:tcPr>
          <w:p w:rsidR="00705C8D" w:rsidRPr="00705C8D" w:rsidRDefault="00705C8D" w:rsidP="00705C8D">
            <w:pPr>
              <w:jc w:val="both"/>
            </w:pPr>
            <w:r w:rsidRPr="00705C8D">
              <w:t>Δασκάλων</w:t>
            </w:r>
          </w:p>
        </w:tc>
        <w:tc>
          <w:tcPr>
            <w:tcW w:w="1860" w:type="dxa"/>
            <w:tcBorders>
              <w:top w:val="nil"/>
              <w:left w:val="nil"/>
              <w:bottom w:val="single" w:sz="4" w:space="0" w:color="auto"/>
              <w:right w:val="single" w:sz="4" w:space="0" w:color="auto"/>
            </w:tcBorders>
            <w:shd w:val="clear" w:color="auto" w:fill="auto"/>
            <w:noWrap/>
            <w:vAlign w:val="center"/>
            <w:hideMark/>
          </w:tcPr>
          <w:p w:rsidR="00705C8D" w:rsidRPr="00705C8D" w:rsidRDefault="00705C8D" w:rsidP="00705C8D">
            <w:pPr>
              <w:jc w:val="both"/>
            </w:pPr>
            <w:r w:rsidRPr="00705C8D">
              <w:t>ΗΡΑΚΛΕΙΟΥ (Π.Ε.)</w:t>
            </w:r>
          </w:p>
        </w:tc>
        <w:tc>
          <w:tcPr>
            <w:tcW w:w="1550" w:type="dxa"/>
            <w:tcBorders>
              <w:top w:val="nil"/>
              <w:left w:val="nil"/>
              <w:bottom w:val="single" w:sz="4" w:space="0" w:color="auto"/>
              <w:right w:val="single" w:sz="4" w:space="0" w:color="auto"/>
            </w:tcBorders>
            <w:shd w:val="clear" w:color="auto" w:fill="auto"/>
            <w:noWrap/>
            <w:vAlign w:val="center"/>
            <w:hideMark/>
          </w:tcPr>
          <w:p w:rsidR="00705C8D" w:rsidRPr="00705C8D" w:rsidRDefault="00705C8D" w:rsidP="00705C8D">
            <w:pPr>
              <w:jc w:val="center"/>
            </w:pPr>
            <w:r w:rsidRPr="00705C8D">
              <w:t>293</w:t>
            </w:r>
          </w:p>
        </w:tc>
      </w:tr>
      <w:tr w:rsidR="00705C8D" w:rsidRPr="00705C8D" w:rsidTr="00C66001">
        <w:trPr>
          <w:trHeight w:val="300"/>
          <w:jc w:val="center"/>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rsidR="00705C8D" w:rsidRPr="00705C8D" w:rsidRDefault="00705C8D" w:rsidP="00705C8D">
            <w:pPr>
              <w:jc w:val="both"/>
            </w:pPr>
            <w:r w:rsidRPr="00705C8D">
              <w:t>ΠΕ79.01</w:t>
            </w:r>
          </w:p>
        </w:tc>
        <w:tc>
          <w:tcPr>
            <w:tcW w:w="1619" w:type="dxa"/>
            <w:tcBorders>
              <w:top w:val="nil"/>
              <w:left w:val="nil"/>
              <w:bottom w:val="single" w:sz="4" w:space="0" w:color="auto"/>
              <w:right w:val="single" w:sz="4" w:space="0" w:color="auto"/>
            </w:tcBorders>
            <w:shd w:val="clear" w:color="auto" w:fill="auto"/>
            <w:noWrap/>
            <w:vAlign w:val="center"/>
            <w:hideMark/>
          </w:tcPr>
          <w:p w:rsidR="00705C8D" w:rsidRPr="00705C8D" w:rsidRDefault="00705C8D" w:rsidP="00705C8D">
            <w:pPr>
              <w:jc w:val="both"/>
            </w:pPr>
            <w:r w:rsidRPr="00705C8D">
              <w:t>Μουσικών</w:t>
            </w:r>
          </w:p>
        </w:tc>
        <w:tc>
          <w:tcPr>
            <w:tcW w:w="1860" w:type="dxa"/>
            <w:tcBorders>
              <w:top w:val="nil"/>
              <w:left w:val="nil"/>
              <w:bottom w:val="single" w:sz="4" w:space="0" w:color="auto"/>
              <w:right w:val="single" w:sz="4" w:space="0" w:color="auto"/>
            </w:tcBorders>
            <w:shd w:val="clear" w:color="auto" w:fill="auto"/>
            <w:noWrap/>
            <w:vAlign w:val="center"/>
            <w:hideMark/>
          </w:tcPr>
          <w:p w:rsidR="00705C8D" w:rsidRPr="00705C8D" w:rsidRDefault="00705C8D" w:rsidP="00705C8D">
            <w:pPr>
              <w:jc w:val="both"/>
            </w:pPr>
            <w:r w:rsidRPr="00705C8D">
              <w:t>ΗΡΑΚΛΕΙΟΥ (Π.Ε.)</w:t>
            </w:r>
          </w:p>
        </w:tc>
        <w:tc>
          <w:tcPr>
            <w:tcW w:w="1550" w:type="dxa"/>
            <w:tcBorders>
              <w:top w:val="nil"/>
              <w:left w:val="nil"/>
              <w:bottom w:val="single" w:sz="4" w:space="0" w:color="auto"/>
              <w:right w:val="single" w:sz="4" w:space="0" w:color="auto"/>
            </w:tcBorders>
            <w:shd w:val="clear" w:color="auto" w:fill="auto"/>
            <w:noWrap/>
            <w:vAlign w:val="center"/>
            <w:hideMark/>
          </w:tcPr>
          <w:p w:rsidR="00705C8D" w:rsidRPr="00705C8D" w:rsidRDefault="00705C8D" w:rsidP="00705C8D">
            <w:pPr>
              <w:jc w:val="center"/>
            </w:pPr>
            <w:r w:rsidRPr="00705C8D">
              <w:t>10</w:t>
            </w:r>
          </w:p>
        </w:tc>
      </w:tr>
      <w:tr w:rsidR="00705C8D" w:rsidRPr="00705C8D" w:rsidTr="00C66001">
        <w:trPr>
          <w:trHeight w:val="300"/>
          <w:jc w:val="center"/>
        </w:trPr>
        <w:tc>
          <w:tcPr>
            <w:tcW w:w="1072" w:type="dxa"/>
            <w:tcBorders>
              <w:top w:val="nil"/>
              <w:left w:val="nil"/>
              <w:bottom w:val="nil"/>
              <w:right w:val="nil"/>
            </w:tcBorders>
            <w:shd w:val="clear" w:color="auto" w:fill="auto"/>
            <w:noWrap/>
            <w:vAlign w:val="center"/>
            <w:hideMark/>
          </w:tcPr>
          <w:p w:rsidR="00705C8D" w:rsidRPr="00705C8D" w:rsidRDefault="00705C8D" w:rsidP="00705C8D">
            <w:pPr>
              <w:jc w:val="both"/>
            </w:pPr>
          </w:p>
        </w:tc>
        <w:tc>
          <w:tcPr>
            <w:tcW w:w="1619" w:type="dxa"/>
            <w:tcBorders>
              <w:top w:val="nil"/>
              <w:left w:val="nil"/>
              <w:bottom w:val="nil"/>
              <w:right w:val="nil"/>
            </w:tcBorders>
            <w:shd w:val="clear" w:color="auto" w:fill="auto"/>
            <w:noWrap/>
            <w:vAlign w:val="center"/>
            <w:hideMark/>
          </w:tcPr>
          <w:p w:rsidR="00705C8D" w:rsidRPr="00705C8D" w:rsidRDefault="00705C8D" w:rsidP="00705C8D">
            <w:pPr>
              <w:jc w:val="both"/>
            </w:pP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705C8D" w:rsidRPr="00705C8D" w:rsidRDefault="00705C8D" w:rsidP="00705C8D">
            <w:pPr>
              <w:jc w:val="center"/>
              <w:rPr>
                <w:b/>
                <w:bCs/>
              </w:rPr>
            </w:pPr>
            <w:r w:rsidRPr="00705C8D">
              <w:rPr>
                <w:b/>
                <w:bCs/>
              </w:rPr>
              <w:t>ΣΥΝΟΛΟ</w:t>
            </w:r>
          </w:p>
        </w:tc>
        <w:tc>
          <w:tcPr>
            <w:tcW w:w="1550" w:type="dxa"/>
            <w:tcBorders>
              <w:top w:val="nil"/>
              <w:left w:val="nil"/>
              <w:bottom w:val="single" w:sz="4" w:space="0" w:color="auto"/>
              <w:right w:val="single" w:sz="4" w:space="0" w:color="auto"/>
            </w:tcBorders>
            <w:shd w:val="clear" w:color="auto" w:fill="auto"/>
            <w:noWrap/>
            <w:vAlign w:val="center"/>
            <w:hideMark/>
          </w:tcPr>
          <w:p w:rsidR="00705C8D" w:rsidRPr="00705C8D" w:rsidRDefault="00705C8D" w:rsidP="00705C8D">
            <w:pPr>
              <w:jc w:val="center"/>
              <w:rPr>
                <w:b/>
                <w:bCs/>
              </w:rPr>
            </w:pPr>
            <w:r w:rsidRPr="00705C8D">
              <w:rPr>
                <w:b/>
                <w:bCs/>
              </w:rPr>
              <w:t>479</w:t>
            </w:r>
          </w:p>
        </w:tc>
      </w:tr>
    </w:tbl>
    <w:p w:rsidR="00705C8D" w:rsidRPr="00705C8D" w:rsidRDefault="00705C8D" w:rsidP="00705C8D">
      <w:pPr>
        <w:jc w:val="both"/>
      </w:pPr>
    </w:p>
    <w:p w:rsidR="00705C8D" w:rsidRPr="00705C8D" w:rsidRDefault="00705C8D" w:rsidP="00705C8D">
      <w:pPr>
        <w:jc w:val="both"/>
      </w:pPr>
      <w:r w:rsidRPr="00705C8D">
        <w:t xml:space="preserve">Προκειμένου  να ολοκληρωθεί η διαδικασία διορισμού των εκπαιδευτικών, καταχωρήθηκε από την υπηρεσία μας ήδη ο αριθμός βεβαίωσης εγγραφής στο Μητρώο Ανθρώπινου Δυναμικού Ελληνικού Δημοσίου και ο αριθμός βεβαίωσης ΔΙΠΑΑΔ για κάθε </w:t>
      </w:r>
      <w:proofErr w:type="spellStart"/>
      <w:r w:rsidRPr="00705C8D">
        <w:t>διοριστέο</w:t>
      </w:r>
      <w:proofErr w:type="spellEnd"/>
      <w:r w:rsidRPr="00705C8D">
        <w:t xml:space="preserve"> εκπαιδευτικό, και αποστείλαμε τα στοιχεία αυτά προκειμένου να δημοσιευτεί η απόφαση διορισμών στην Εφημερίδα της Κυβερνήσεως.</w:t>
      </w:r>
    </w:p>
    <w:p w:rsidR="00705C8D" w:rsidRPr="00705C8D" w:rsidRDefault="00705C8D" w:rsidP="00705C8D">
      <w:pPr>
        <w:jc w:val="both"/>
      </w:pPr>
      <w:r w:rsidRPr="00705C8D">
        <w:t xml:space="preserve">  </w:t>
      </w:r>
    </w:p>
    <w:p w:rsidR="00705C8D" w:rsidRPr="00705C8D" w:rsidRDefault="00705C8D" w:rsidP="00705C8D">
      <w:pPr>
        <w:jc w:val="both"/>
      </w:pPr>
      <w:r w:rsidRPr="00705C8D">
        <w:lastRenderedPageBreak/>
        <w:t>Εκτιμούμε ότι η διαδικασία αυτή θα έχει ολοκληρωθεί πριν τις 15 Αυγούστου, όπου οι διορισμένοι εκπαιδευτικοί θα παρουσιαστούν στη Διεύθυνση Πρωτοβάθμιας Εκπαίδευσης Ηρακλείου για να καταθέσουν τα απαραίτητα δικαιολογητικά, να παραστούν στην ορκωμοσία και να αναλάβουν υπηρεσία.</w:t>
      </w:r>
    </w:p>
    <w:p w:rsidR="00705C8D" w:rsidRPr="00705C8D" w:rsidRDefault="00705C8D" w:rsidP="00705C8D">
      <w:pPr>
        <w:jc w:val="both"/>
      </w:pPr>
      <w:r w:rsidRPr="00705C8D">
        <w:t>Το αμέσως επόμενο διάστημα θα ολοκληρωθούν όλες οι υπηρεσιακές μεταβολές των εκπαιδευτικών και μετά τις 15 Αυγούστου θα βγει η πρόσκληση και θα πραγματοποιηθούν εγκαίρως οι προσλήψεις των αναπληρωτών.</w:t>
      </w:r>
    </w:p>
    <w:p w:rsidR="00705C8D" w:rsidRPr="00705C8D" w:rsidRDefault="00705C8D" w:rsidP="00705C8D">
      <w:pPr>
        <w:jc w:val="both"/>
      </w:pPr>
    </w:p>
    <w:p w:rsidR="00705C8D" w:rsidRPr="00705C8D" w:rsidRDefault="00705C8D" w:rsidP="00705C8D">
      <w:pPr>
        <w:jc w:val="both"/>
      </w:pPr>
      <w:r w:rsidRPr="00705C8D">
        <w:t>Όπως φαίνεται από τα παραπάνω, υλοποιείται με συνέπεια το χρονοδιάγραμμα του Υπουργείου Παιδείας έτσι ώστε να ξεκινήσει με τον καλύτερο τρόπο η νέα σχολική χρονιά.</w:t>
      </w:r>
    </w:p>
    <w:p w:rsidR="00705C8D" w:rsidRPr="00705C8D" w:rsidRDefault="00705C8D" w:rsidP="00705C8D">
      <w:pPr>
        <w:jc w:val="both"/>
      </w:pPr>
    </w:p>
    <w:p w:rsidR="00705C8D" w:rsidRPr="00705C8D" w:rsidRDefault="00705C8D" w:rsidP="00705C8D">
      <w:pPr>
        <w:jc w:val="both"/>
      </w:pPr>
      <w:r w:rsidRPr="00705C8D">
        <w:pict>
          <v:shape id="_x0000_s1031" type="#_x0000_t202" style="position:absolute;left:0;text-align:left;margin-left:109.5pt;margin-top:132.6pt;width:233.65pt;height:65.75pt;z-index:251662336;mso-width-relative:margin;mso-height-relative:margin" stroked="f">
            <v:textbox style="mso-next-textbox:#_x0000_s1031">
              <w:txbxContent>
                <w:p w:rsidR="00705C8D" w:rsidRPr="00705C8D" w:rsidRDefault="00705C8D" w:rsidP="00705C8D">
                  <w:pPr>
                    <w:jc w:val="center"/>
                    <w:rPr>
                      <w:rFonts w:cs="Calibri"/>
                      <w:spacing w:val="-4"/>
                    </w:rPr>
                  </w:pPr>
                  <w:r w:rsidRPr="00705C8D">
                    <w:rPr>
                      <w:rFonts w:cs="Calibri"/>
                      <w:spacing w:val="-4"/>
                    </w:rPr>
                    <w:t>Γραφείο Τύπου</w:t>
                  </w:r>
                </w:p>
                <w:p w:rsidR="00705C8D" w:rsidRPr="00705C8D" w:rsidRDefault="00705C8D" w:rsidP="00705C8D">
                  <w:pPr>
                    <w:jc w:val="center"/>
                    <w:rPr>
                      <w:rFonts w:cs="Calibri"/>
                      <w:spacing w:val="-4"/>
                    </w:rPr>
                  </w:pPr>
                  <w:r w:rsidRPr="00705C8D">
                    <w:rPr>
                      <w:rFonts w:cs="Calibri"/>
                      <w:spacing w:val="-4"/>
                    </w:rPr>
                    <w:t>Διεύθυνσης Πρωτοβάθμιας Εκπαίδευσης Ηρακλείου</w:t>
                  </w:r>
                </w:p>
              </w:txbxContent>
            </v:textbox>
          </v:shape>
        </w:pict>
      </w:r>
      <w:r w:rsidRPr="00705C8D">
        <w:t xml:space="preserve">β) Ο Διευθυντής Πρωτοβάθμιας Εκπαίδευσης Ηρακλείου κ. Μανόλης </w:t>
      </w:r>
      <w:proofErr w:type="spellStart"/>
      <w:r w:rsidRPr="00705C8D">
        <w:t>Μπελαδάκης</w:t>
      </w:r>
      <w:proofErr w:type="spellEnd"/>
      <w:r w:rsidRPr="00705C8D">
        <w:t xml:space="preserve"> προσκαλεί σε ενημερωτική συνάντηση εργασίας, αύριο Τετάρτη 04/08/2021 και ώρα 12:00 </w:t>
      </w:r>
      <w:proofErr w:type="spellStart"/>
      <w:r w:rsidRPr="00705C8D">
        <w:t>μ.μ</w:t>
      </w:r>
      <w:proofErr w:type="spellEnd"/>
      <w:r w:rsidRPr="00705C8D">
        <w:t xml:space="preserve">., στα γραφείο της Διεύθυνσης Πρωτοβάθμιας Εκπαίδευσης Ηρακλείου, τους προέδρους των Συλλόγων Εκπαιδευτικών Π.Ε. Ν. Ηρακλείου: «Δομήνικος Θεοτοκόπουλος», «Νίκος Καζαντζάκης» και </w:t>
      </w:r>
      <w:proofErr w:type="spellStart"/>
      <w:r w:rsidRPr="00705C8D">
        <w:t>Μεσαράς</w:t>
      </w:r>
      <w:proofErr w:type="spellEnd"/>
      <w:r w:rsidRPr="00705C8D">
        <w:t xml:space="preserve"> «Φαιστός», προκειμένου να τους ενημερώσει για τα χρονοδιαγράμματα και τις ενέργειες που έχουν γίνει, έτσι ώστε να πραγματοποιηθεί με τις καλύτερες προϋποθέσεις η έναρξη της νέας σχολικής χρονιάς.</w:t>
      </w:r>
    </w:p>
    <w:p w:rsidR="00D917C9" w:rsidRPr="00D917C9" w:rsidRDefault="00D917C9" w:rsidP="00705C8D">
      <w:pPr>
        <w:jc w:val="both"/>
      </w:pPr>
    </w:p>
    <w:sectPr w:rsidR="00D917C9" w:rsidRPr="00D917C9" w:rsidSect="0067770B">
      <w:pgSz w:w="11906" w:h="16838"/>
      <w:pgMar w:top="709"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3B5" w:rsidRDefault="004143B5" w:rsidP="004143B5">
      <w:pPr>
        <w:spacing w:line="240" w:lineRule="auto"/>
      </w:pPr>
      <w:r>
        <w:separator/>
      </w:r>
    </w:p>
  </w:endnote>
  <w:endnote w:type="continuationSeparator" w:id="0">
    <w:p w:rsidR="004143B5" w:rsidRDefault="004143B5" w:rsidP="004143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3B5" w:rsidRDefault="004143B5" w:rsidP="004143B5">
      <w:pPr>
        <w:spacing w:line="240" w:lineRule="auto"/>
      </w:pPr>
      <w:r>
        <w:separator/>
      </w:r>
    </w:p>
  </w:footnote>
  <w:footnote w:type="continuationSeparator" w:id="0">
    <w:p w:rsidR="004143B5" w:rsidRDefault="004143B5" w:rsidP="004143B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E3ADC"/>
    <w:multiLevelType w:val="hybridMultilevel"/>
    <w:tmpl w:val="B038D2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A213283"/>
    <w:multiLevelType w:val="hybridMultilevel"/>
    <w:tmpl w:val="39ACE26C"/>
    <w:lvl w:ilvl="0" w:tplc="04080001">
      <w:start w:val="1"/>
      <w:numFmt w:val="bullet"/>
      <w:lvlText w:val=""/>
      <w:lvlJc w:val="left"/>
      <w:pPr>
        <w:ind w:left="1055" w:hanging="360"/>
      </w:pPr>
      <w:rPr>
        <w:rFonts w:ascii="Symbol" w:hAnsi="Symbol" w:hint="default"/>
      </w:rPr>
    </w:lvl>
    <w:lvl w:ilvl="1" w:tplc="04080003" w:tentative="1">
      <w:start w:val="1"/>
      <w:numFmt w:val="bullet"/>
      <w:lvlText w:val="o"/>
      <w:lvlJc w:val="left"/>
      <w:pPr>
        <w:ind w:left="1775" w:hanging="360"/>
      </w:pPr>
      <w:rPr>
        <w:rFonts w:ascii="Courier New" w:hAnsi="Courier New" w:cs="Courier New" w:hint="default"/>
      </w:rPr>
    </w:lvl>
    <w:lvl w:ilvl="2" w:tplc="04080005" w:tentative="1">
      <w:start w:val="1"/>
      <w:numFmt w:val="bullet"/>
      <w:lvlText w:val=""/>
      <w:lvlJc w:val="left"/>
      <w:pPr>
        <w:ind w:left="2495" w:hanging="360"/>
      </w:pPr>
      <w:rPr>
        <w:rFonts w:ascii="Wingdings" w:hAnsi="Wingdings" w:hint="default"/>
      </w:rPr>
    </w:lvl>
    <w:lvl w:ilvl="3" w:tplc="04080001" w:tentative="1">
      <w:start w:val="1"/>
      <w:numFmt w:val="bullet"/>
      <w:lvlText w:val=""/>
      <w:lvlJc w:val="left"/>
      <w:pPr>
        <w:ind w:left="3215" w:hanging="360"/>
      </w:pPr>
      <w:rPr>
        <w:rFonts w:ascii="Symbol" w:hAnsi="Symbol" w:hint="default"/>
      </w:rPr>
    </w:lvl>
    <w:lvl w:ilvl="4" w:tplc="04080003" w:tentative="1">
      <w:start w:val="1"/>
      <w:numFmt w:val="bullet"/>
      <w:lvlText w:val="o"/>
      <w:lvlJc w:val="left"/>
      <w:pPr>
        <w:ind w:left="3935" w:hanging="360"/>
      </w:pPr>
      <w:rPr>
        <w:rFonts w:ascii="Courier New" w:hAnsi="Courier New" w:cs="Courier New" w:hint="default"/>
      </w:rPr>
    </w:lvl>
    <w:lvl w:ilvl="5" w:tplc="04080005" w:tentative="1">
      <w:start w:val="1"/>
      <w:numFmt w:val="bullet"/>
      <w:lvlText w:val=""/>
      <w:lvlJc w:val="left"/>
      <w:pPr>
        <w:ind w:left="4655" w:hanging="360"/>
      </w:pPr>
      <w:rPr>
        <w:rFonts w:ascii="Wingdings" w:hAnsi="Wingdings" w:hint="default"/>
      </w:rPr>
    </w:lvl>
    <w:lvl w:ilvl="6" w:tplc="04080001" w:tentative="1">
      <w:start w:val="1"/>
      <w:numFmt w:val="bullet"/>
      <w:lvlText w:val=""/>
      <w:lvlJc w:val="left"/>
      <w:pPr>
        <w:ind w:left="5375" w:hanging="360"/>
      </w:pPr>
      <w:rPr>
        <w:rFonts w:ascii="Symbol" w:hAnsi="Symbol" w:hint="default"/>
      </w:rPr>
    </w:lvl>
    <w:lvl w:ilvl="7" w:tplc="04080003" w:tentative="1">
      <w:start w:val="1"/>
      <w:numFmt w:val="bullet"/>
      <w:lvlText w:val="o"/>
      <w:lvlJc w:val="left"/>
      <w:pPr>
        <w:ind w:left="6095" w:hanging="360"/>
      </w:pPr>
      <w:rPr>
        <w:rFonts w:ascii="Courier New" w:hAnsi="Courier New" w:cs="Courier New" w:hint="default"/>
      </w:rPr>
    </w:lvl>
    <w:lvl w:ilvl="8" w:tplc="04080005" w:tentative="1">
      <w:start w:val="1"/>
      <w:numFmt w:val="bullet"/>
      <w:lvlText w:val=""/>
      <w:lvlJc w:val="left"/>
      <w:pPr>
        <w:ind w:left="681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6C5"/>
    <w:rsid w:val="00002E2F"/>
    <w:rsid w:val="00014EA0"/>
    <w:rsid w:val="00020B1F"/>
    <w:rsid w:val="000413D7"/>
    <w:rsid w:val="000869A3"/>
    <w:rsid w:val="00131201"/>
    <w:rsid w:val="0013163F"/>
    <w:rsid w:val="0014390A"/>
    <w:rsid w:val="001479DD"/>
    <w:rsid w:val="00194EF4"/>
    <w:rsid w:val="001B21FF"/>
    <w:rsid w:val="001D5557"/>
    <w:rsid w:val="001F158B"/>
    <w:rsid w:val="0020516A"/>
    <w:rsid w:val="00230F4E"/>
    <w:rsid w:val="00262707"/>
    <w:rsid w:val="002704A5"/>
    <w:rsid w:val="00276AD6"/>
    <w:rsid w:val="00285637"/>
    <w:rsid w:val="002A28BF"/>
    <w:rsid w:val="002E7FAB"/>
    <w:rsid w:val="0030768E"/>
    <w:rsid w:val="00322463"/>
    <w:rsid w:val="00336B4B"/>
    <w:rsid w:val="00353A36"/>
    <w:rsid w:val="0036376B"/>
    <w:rsid w:val="003735A1"/>
    <w:rsid w:val="003941FC"/>
    <w:rsid w:val="003A23A0"/>
    <w:rsid w:val="003B299E"/>
    <w:rsid w:val="003C3612"/>
    <w:rsid w:val="003D07CE"/>
    <w:rsid w:val="00403220"/>
    <w:rsid w:val="004143B5"/>
    <w:rsid w:val="0041559C"/>
    <w:rsid w:val="00415602"/>
    <w:rsid w:val="00465D26"/>
    <w:rsid w:val="0048265C"/>
    <w:rsid w:val="004B5CC5"/>
    <w:rsid w:val="004D1025"/>
    <w:rsid w:val="00506CD8"/>
    <w:rsid w:val="005079FB"/>
    <w:rsid w:val="00511F0F"/>
    <w:rsid w:val="0051418D"/>
    <w:rsid w:val="00521496"/>
    <w:rsid w:val="005427C5"/>
    <w:rsid w:val="00561D7C"/>
    <w:rsid w:val="00574A41"/>
    <w:rsid w:val="00581509"/>
    <w:rsid w:val="005A4107"/>
    <w:rsid w:val="005B5223"/>
    <w:rsid w:val="005E2191"/>
    <w:rsid w:val="005F555A"/>
    <w:rsid w:val="00631161"/>
    <w:rsid w:val="006633A0"/>
    <w:rsid w:val="00666913"/>
    <w:rsid w:val="0067770B"/>
    <w:rsid w:val="006C39AA"/>
    <w:rsid w:val="006C6D72"/>
    <w:rsid w:val="006C7F5C"/>
    <w:rsid w:val="006F18F5"/>
    <w:rsid w:val="006F4919"/>
    <w:rsid w:val="00702D63"/>
    <w:rsid w:val="00705C8D"/>
    <w:rsid w:val="00714958"/>
    <w:rsid w:val="00746BF3"/>
    <w:rsid w:val="00767B1A"/>
    <w:rsid w:val="00781645"/>
    <w:rsid w:val="007928E7"/>
    <w:rsid w:val="00792CC2"/>
    <w:rsid w:val="007938EC"/>
    <w:rsid w:val="00795E6D"/>
    <w:rsid w:val="007A6626"/>
    <w:rsid w:val="00812443"/>
    <w:rsid w:val="00834452"/>
    <w:rsid w:val="008A12E4"/>
    <w:rsid w:val="008B1579"/>
    <w:rsid w:val="008C31F3"/>
    <w:rsid w:val="008D5275"/>
    <w:rsid w:val="008D7849"/>
    <w:rsid w:val="008F2B18"/>
    <w:rsid w:val="00907C43"/>
    <w:rsid w:val="00910AB6"/>
    <w:rsid w:val="00920C36"/>
    <w:rsid w:val="009236C5"/>
    <w:rsid w:val="00972544"/>
    <w:rsid w:val="009744C8"/>
    <w:rsid w:val="009D1A1D"/>
    <w:rsid w:val="009D50ED"/>
    <w:rsid w:val="009F7D1A"/>
    <w:rsid w:val="00A054B4"/>
    <w:rsid w:val="00A23A13"/>
    <w:rsid w:val="00A32691"/>
    <w:rsid w:val="00A420F1"/>
    <w:rsid w:val="00A72D3B"/>
    <w:rsid w:val="00A766EB"/>
    <w:rsid w:val="00A82AA8"/>
    <w:rsid w:val="00AB3B8E"/>
    <w:rsid w:val="00AC1F24"/>
    <w:rsid w:val="00AF0849"/>
    <w:rsid w:val="00AF61AD"/>
    <w:rsid w:val="00B04168"/>
    <w:rsid w:val="00B1749C"/>
    <w:rsid w:val="00B37A22"/>
    <w:rsid w:val="00B545A3"/>
    <w:rsid w:val="00B6339A"/>
    <w:rsid w:val="00B673C5"/>
    <w:rsid w:val="00B716B4"/>
    <w:rsid w:val="00B84E62"/>
    <w:rsid w:val="00BC1A24"/>
    <w:rsid w:val="00BC71EE"/>
    <w:rsid w:val="00BD2032"/>
    <w:rsid w:val="00BE3A78"/>
    <w:rsid w:val="00C274E5"/>
    <w:rsid w:val="00C3291F"/>
    <w:rsid w:val="00C81149"/>
    <w:rsid w:val="00C97CAE"/>
    <w:rsid w:val="00CD2B13"/>
    <w:rsid w:val="00CD312C"/>
    <w:rsid w:val="00CE6922"/>
    <w:rsid w:val="00D018B8"/>
    <w:rsid w:val="00D11441"/>
    <w:rsid w:val="00D471F3"/>
    <w:rsid w:val="00D77E69"/>
    <w:rsid w:val="00D917C9"/>
    <w:rsid w:val="00D9660D"/>
    <w:rsid w:val="00D97801"/>
    <w:rsid w:val="00DA6125"/>
    <w:rsid w:val="00DC4B61"/>
    <w:rsid w:val="00E279AC"/>
    <w:rsid w:val="00E400B8"/>
    <w:rsid w:val="00E42F02"/>
    <w:rsid w:val="00E650C7"/>
    <w:rsid w:val="00E94578"/>
    <w:rsid w:val="00EB43ED"/>
    <w:rsid w:val="00EC328F"/>
    <w:rsid w:val="00EC46AA"/>
    <w:rsid w:val="00EE025F"/>
    <w:rsid w:val="00F526CC"/>
    <w:rsid w:val="00F63114"/>
    <w:rsid w:val="00F7281C"/>
    <w:rsid w:val="00FC2DC6"/>
    <w:rsid w:val="00FC7CD8"/>
    <w:rsid w:val="00FD3FDA"/>
    <w:rsid w:val="00FD5BB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D6"/>
    <w:pPr>
      <w:spacing w:line="276" w:lineRule="auto"/>
    </w:pPr>
    <w:rPr>
      <w:sz w:val="22"/>
      <w:szCs w:val="22"/>
    </w:rPr>
  </w:style>
  <w:style w:type="paragraph" w:styleId="5">
    <w:name w:val="heading 5"/>
    <w:basedOn w:val="a"/>
    <w:next w:val="a"/>
    <w:link w:val="5Char"/>
    <w:uiPriority w:val="99"/>
    <w:qFormat/>
    <w:rsid w:val="00972544"/>
    <w:pPr>
      <w:spacing w:before="240" w:after="60" w:line="240" w:lineRule="auto"/>
      <w:outlineLvl w:val="4"/>
    </w:pPr>
    <w:rPr>
      <w:rFonts w:ascii="Arial" w:hAnsi="Arial"/>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semiHidden/>
    <w:locked/>
    <w:rsid w:val="00972544"/>
    <w:rPr>
      <w:rFonts w:ascii="Arial" w:hAnsi="Arial" w:cs="Times New Roman"/>
      <w:b/>
      <w:bCs/>
      <w:i/>
      <w:iCs/>
      <w:sz w:val="26"/>
      <w:szCs w:val="26"/>
    </w:rPr>
  </w:style>
  <w:style w:type="paragraph" w:styleId="a3">
    <w:name w:val="Balloon Text"/>
    <w:basedOn w:val="a"/>
    <w:link w:val="Char"/>
    <w:uiPriority w:val="99"/>
    <w:semiHidden/>
    <w:rsid w:val="00972544"/>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972544"/>
    <w:rPr>
      <w:rFonts w:ascii="Tahoma" w:hAnsi="Tahoma" w:cs="Tahoma"/>
      <w:sz w:val="16"/>
      <w:szCs w:val="16"/>
    </w:rPr>
  </w:style>
  <w:style w:type="character" w:styleId="-">
    <w:name w:val="Hyperlink"/>
    <w:basedOn w:val="a0"/>
    <w:uiPriority w:val="99"/>
    <w:semiHidden/>
    <w:rsid w:val="006633A0"/>
    <w:rPr>
      <w:rFonts w:cs="Times New Roman"/>
      <w:color w:val="0000FF"/>
      <w:u w:val="single"/>
    </w:rPr>
  </w:style>
  <w:style w:type="paragraph" w:styleId="a4">
    <w:name w:val="header"/>
    <w:basedOn w:val="a"/>
    <w:link w:val="Char0"/>
    <w:uiPriority w:val="99"/>
    <w:semiHidden/>
    <w:unhideWhenUsed/>
    <w:rsid w:val="004143B5"/>
    <w:pPr>
      <w:tabs>
        <w:tab w:val="center" w:pos="4153"/>
        <w:tab w:val="right" w:pos="8306"/>
      </w:tabs>
    </w:pPr>
  </w:style>
  <w:style w:type="character" w:customStyle="1" w:styleId="Char0">
    <w:name w:val="Κεφαλίδα Char"/>
    <w:basedOn w:val="a0"/>
    <w:link w:val="a4"/>
    <w:uiPriority w:val="99"/>
    <w:semiHidden/>
    <w:rsid w:val="004143B5"/>
  </w:style>
  <w:style w:type="paragraph" w:styleId="a5">
    <w:name w:val="footer"/>
    <w:basedOn w:val="a"/>
    <w:link w:val="Char1"/>
    <w:uiPriority w:val="99"/>
    <w:semiHidden/>
    <w:unhideWhenUsed/>
    <w:rsid w:val="004143B5"/>
    <w:pPr>
      <w:tabs>
        <w:tab w:val="center" w:pos="4153"/>
        <w:tab w:val="right" w:pos="8306"/>
      </w:tabs>
    </w:pPr>
  </w:style>
  <w:style w:type="character" w:customStyle="1" w:styleId="Char1">
    <w:name w:val="Υποσέλιδο Char"/>
    <w:basedOn w:val="a0"/>
    <w:link w:val="a5"/>
    <w:uiPriority w:val="99"/>
    <w:semiHidden/>
    <w:rsid w:val="004143B5"/>
  </w:style>
</w:styles>
</file>

<file path=word/webSettings.xml><?xml version="1.0" encoding="utf-8"?>
<w:webSettings xmlns:r="http://schemas.openxmlformats.org/officeDocument/2006/relationships" xmlns:w="http://schemas.openxmlformats.org/wordprocessingml/2006/main">
  <w:divs>
    <w:div w:id="983436877">
      <w:marLeft w:val="0"/>
      <w:marRight w:val="0"/>
      <w:marTop w:val="0"/>
      <w:marBottom w:val="0"/>
      <w:divBdr>
        <w:top w:val="none" w:sz="0" w:space="0" w:color="auto"/>
        <w:left w:val="none" w:sz="0" w:space="0" w:color="auto"/>
        <w:bottom w:val="none" w:sz="0" w:space="0" w:color="auto"/>
        <w:right w:val="none" w:sz="0" w:space="0" w:color="auto"/>
      </w:divBdr>
    </w:div>
    <w:div w:id="983436878">
      <w:marLeft w:val="0"/>
      <w:marRight w:val="0"/>
      <w:marTop w:val="0"/>
      <w:marBottom w:val="0"/>
      <w:divBdr>
        <w:top w:val="none" w:sz="0" w:space="0" w:color="auto"/>
        <w:left w:val="none" w:sz="0" w:space="0" w:color="auto"/>
        <w:bottom w:val="none" w:sz="0" w:space="0" w:color="auto"/>
        <w:right w:val="none" w:sz="0" w:space="0" w:color="auto"/>
      </w:divBdr>
    </w:div>
    <w:div w:id="983436879">
      <w:marLeft w:val="0"/>
      <w:marRight w:val="0"/>
      <w:marTop w:val="0"/>
      <w:marBottom w:val="0"/>
      <w:divBdr>
        <w:top w:val="none" w:sz="0" w:space="0" w:color="auto"/>
        <w:left w:val="none" w:sz="0" w:space="0" w:color="auto"/>
        <w:bottom w:val="none" w:sz="0" w:space="0" w:color="auto"/>
        <w:right w:val="none" w:sz="0" w:space="0" w:color="auto"/>
      </w:divBdr>
    </w:div>
    <w:div w:id="983436880">
      <w:marLeft w:val="0"/>
      <w:marRight w:val="0"/>
      <w:marTop w:val="0"/>
      <w:marBottom w:val="0"/>
      <w:divBdr>
        <w:top w:val="none" w:sz="0" w:space="0" w:color="auto"/>
        <w:left w:val="none" w:sz="0" w:space="0" w:color="auto"/>
        <w:bottom w:val="none" w:sz="0" w:space="0" w:color="auto"/>
        <w:right w:val="none" w:sz="0" w:space="0" w:color="auto"/>
      </w:divBdr>
    </w:div>
    <w:div w:id="983436881">
      <w:marLeft w:val="0"/>
      <w:marRight w:val="0"/>
      <w:marTop w:val="0"/>
      <w:marBottom w:val="0"/>
      <w:divBdr>
        <w:top w:val="none" w:sz="0" w:space="0" w:color="auto"/>
        <w:left w:val="none" w:sz="0" w:space="0" w:color="auto"/>
        <w:bottom w:val="none" w:sz="0" w:space="0" w:color="auto"/>
        <w:right w:val="none" w:sz="0" w:space="0" w:color="auto"/>
      </w:divBdr>
    </w:div>
    <w:div w:id="983436882">
      <w:marLeft w:val="0"/>
      <w:marRight w:val="0"/>
      <w:marTop w:val="0"/>
      <w:marBottom w:val="0"/>
      <w:divBdr>
        <w:top w:val="none" w:sz="0" w:space="0" w:color="auto"/>
        <w:left w:val="none" w:sz="0" w:space="0" w:color="auto"/>
        <w:bottom w:val="none" w:sz="0" w:space="0" w:color="auto"/>
        <w:right w:val="none" w:sz="0" w:space="0" w:color="auto"/>
      </w:divBdr>
    </w:div>
    <w:div w:id="983436883">
      <w:marLeft w:val="0"/>
      <w:marRight w:val="0"/>
      <w:marTop w:val="0"/>
      <w:marBottom w:val="0"/>
      <w:divBdr>
        <w:top w:val="none" w:sz="0" w:space="0" w:color="auto"/>
        <w:left w:val="none" w:sz="0" w:space="0" w:color="auto"/>
        <w:bottom w:val="none" w:sz="0" w:space="0" w:color="auto"/>
        <w:right w:val="none" w:sz="0" w:space="0" w:color="auto"/>
      </w:divBdr>
    </w:div>
    <w:div w:id="983436884">
      <w:marLeft w:val="0"/>
      <w:marRight w:val="0"/>
      <w:marTop w:val="0"/>
      <w:marBottom w:val="0"/>
      <w:divBdr>
        <w:top w:val="none" w:sz="0" w:space="0" w:color="auto"/>
        <w:left w:val="none" w:sz="0" w:space="0" w:color="auto"/>
        <w:bottom w:val="none" w:sz="0" w:space="0" w:color="auto"/>
        <w:right w:val="none" w:sz="0" w:space="0" w:color="auto"/>
      </w:divBdr>
    </w:div>
    <w:div w:id="983436885">
      <w:marLeft w:val="0"/>
      <w:marRight w:val="0"/>
      <w:marTop w:val="0"/>
      <w:marBottom w:val="0"/>
      <w:divBdr>
        <w:top w:val="none" w:sz="0" w:space="0" w:color="auto"/>
        <w:left w:val="none" w:sz="0" w:space="0" w:color="auto"/>
        <w:bottom w:val="none" w:sz="0" w:space="0" w:color="auto"/>
        <w:right w:val="none" w:sz="0" w:space="0" w:color="auto"/>
      </w:divBdr>
    </w:div>
    <w:div w:id="983436886">
      <w:marLeft w:val="0"/>
      <w:marRight w:val="0"/>
      <w:marTop w:val="0"/>
      <w:marBottom w:val="0"/>
      <w:divBdr>
        <w:top w:val="none" w:sz="0" w:space="0" w:color="auto"/>
        <w:left w:val="none" w:sz="0" w:space="0" w:color="auto"/>
        <w:bottom w:val="none" w:sz="0" w:space="0" w:color="auto"/>
        <w:right w:val="none" w:sz="0" w:space="0" w:color="auto"/>
      </w:divBdr>
    </w:div>
    <w:div w:id="983436887">
      <w:marLeft w:val="0"/>
      <w:marRight w:val="0"/>
      <w:marTop w:val="0"/>
      <w:marBottom w:val="0"/>
      <w:divBdr>
        <w:top w:val="none" w:sz="0" w:space="0" w:color="auto"/>
        <w:left w:val="none" w:sz="0" w:space="0" w:color="auto"/>
        <w:bottom w:val="none" w:sz="0" w:space="0" w:color="auto"/>
        <w:right w:val="none" w:sz="0" w:space="0" w:color="auto"/>
      </w:divBdr>
    </w:div>
    <w:div w:id="983436888">
      <w:marLeft w:val="0"/>
      <w:marRight w:val="0"/>
      <w:marTop w:val="0"/>
      <w:marBottom w:val="0"/>
      <w:divBdr>
        <w:top w:val="none" w:sz="0" w:space="0" w:color="auto"/>
        <w:left w:val="none" w:sz="0" w:space="0" w:color="auto"/>
        <w:bottom w:val="none" w:sz="0" w:space="0" w:color="auto"/>
        <w:right w:val="none" w:sz="0" w:space="0" w:color="auto"/>
      </w:divBdr>
    </w:div>
    <w:div w:id="983436889">
      <w:marLeft w:val="0"/>
      <w:marRight w:val="0"/>
      <w:marTop w:val="0"/>
      <w:marBottom w:val="0"/>
      <w:divBdr>
        <w:top w:val="none" w:sz="0" w:space="0" w:color="auto"/>
        <w:left w:val="none" w:sz="0" w:space="0" w:color="auto"/>
        <w:bottom w:val="none" w:sz="0" w:space="0" w:color="auto"/>
        <w:right w:val="none" w:sz="0" w:space="0" w:color="auto"/>
      </w:divBdr>
    </w:div>
    <w:div w:id="983436890">
      <w:marLeft w:val="0"/>
      <w:marRight w:val="0"/>
      <w:marTop w:val="0"/>
      <w:marBottom w:val="0"/>
      <w:divBdr>
        <w:top w:val="none" w:sz="0" w:space="0" w:color="auto"/>
        <w:left w:val="none" w:sz="0" w:space="0" w:color="auto"/>
        <w:bottom w:val="none" w:sz="0" w:space="0" w:color="auto"/>
        <w:right w:val="none" w:sz="0" w:space="0" w:color="auto"/>
      </w:divBdr>
    </w:div>
    <w:div w:id="983436891">
      <w:marLeft w:val="0"/>
      <w:marRight w:val="0"/>
      <w:marTop w:val="0"/>
      <w:marBottom w:val="0"/>
      <w:divBdr>
        <w:top w:val="none" w:sz="0" w:space="0" w:color="auto"/>
        <w:left w:val="none" w:sz="0" w:space="0" w:color="auto"/>
        <w:bottom w:val="none" w:sz="0" w:space="0" w:color="auto"/>
        <w:right w:val="none" w:sz="0" w:space="0" w:color="auto"/>
      </w:divBdr>
    </w:div>
    <w:div w:id="983436892">
      <w:marLeft w:val="0"/>
      <w:marRight w:val="0"/>
      <w:marTop w:val="0"/>
      <w:marBottom w:val="0"/>
      <w:divBdr>
        <w:top w:val="none" w:sz="0" w:space="0" w:color="auto"/>
        <w:left w:val="none" w:sz="0" w:space="0" w:color="auto"/>
        <w:bottom w:val="none" w:sz="0" w:space="0" w:color="auto"/>
        <w:right w:val="none" w:sz="0" w:space="0" w:color="auto"/>
      </w:divBdr>
    </w:div>
    <w:div w:id="983436893">
      <w:marLeft w:val="0"/>
      <w:marRight w:val="0"/>
      <w:marTop w:val="0"/>
      <w:marBottom w:val="0"/>
      <w:divBdr>
        <w:top w:val="none" w:sz="0" w:space="0" w:color="auto"/>
        <w:left w:val="none" w:sz="0" w:space="0" w:color="auto"/>
        <w:bottom w:val="none" w:sz="0" w:space="0" w:color="auto"/>
        <w:right w:val="none" w:sz="0" w:space="0" w:color="auto"/>
      </w:divBdr>
    </w:div>
    <w:div w:id="983436894">
      <w:marLeft w:val="0"/>
      <w:marRight w:val="0"/>
      <w:marTop w:val="0"/>
      <w:marBottom w:val="0"/>
      <w:divBdr>
        <w:top w:val="none" w:sz="0" w:space="0" w:color="auto"/>
        <w:left w:val="none" w:sz="0" w:space="0" w:color="auto"/>
        <w:bottom w:val="none" w:sz="0" w:space="0" w:color="auto"/>
        <w:right w:val="none" w:sz="0" w:space="0" w:color="auto"/>
      </w:divBdr>
    </w:div>
    <w:div w:id="983436895">
      <w:marLeft w:val="0"/>
      <w:marRight w:val="0"/>
      <w:marTop w:val="0"/>
      <w:marBottom w:val="0"/>
      <w:divBdr>
        <w:top w:val="none" w:sz="0" w:space="0" w:color="auto"/>
        <w:left w:val="none" w:sz="0" w:space="0" w:color="auto"/>
        <w:bottom w:val="none" w:sz="0" w:space="0" w:color="auto"/>
        <w:right w:val="none" w:sz="0" w:space="0" w:color="auto"/>
      </w:divBdr>
    </w:div>
    <w:div w:id="983436896">
      <w:marLeft w:val="0"/>
      <w:marRight w:val="0"/>
      <w:marTop w:val="0"/>
      <w:marBottom w:val="0"/>
      <w:divBdr>
        <w:top w:val="none" w:sz="0" w:space="0" w:color="auto"/>
        <w:left w:val="none" w:sz="0" w:space="0" w:color="auto"/>
        <w:bottom w:val="none" w:sz="0" w:space="0" w:color="auto"/>
        <w:right w:val="none" w:sz="0" w:space="0" w:color="auto"/>
      </w:divBdr>
    </w:div>
    <w:div w:id="983436897">
      <w:marLeft w:val="0"/>
      <w:marRight w:val="0"/>
      <w:marTop w:val="0"/>
      <w:marBottom w:val="0"/>
      <w:divBdr>
        <w:top w:val="none" w:sz="0" w:space="0" w:color="auto"/>
        <w:left w:val="none" w:sz="0" w:space="0" w:color="auto"/>
        <w:bottom w:val="none" w:sz="0" w:space="0" w:color="auto"/>
        <w:right w:val="none" w:sz="0" w:space="0" w:color="auto"/>
      </w:divBdr>
    </w:div>
    <w:div w:id="983436898">
      <w:marLeft w:val="0"/>
      <w:marRight w:val="0"/>
      <w:marTop w:val="0"/>
      <w:marBottom w:val="0"/>
      <w:divBdr>
        <w:top w:val="none" w:sz="0" w:space="0" w:color="auto"/>
        <w:left w:val="none" w:sz="0" w:space="0" w:color="auto"/>
        <w:bottom w:val="none" w:sz="0" w:space="0" w:color="auto"/>
        <w:right w:val="none" w:sz="0" w:space="0" w:color="auto"/>
      </w:divBdr>
    </w:div>
    <w:div w:id="983436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2</Pages>
  <Words>426</Words>
  <Characters>2759</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67</cp:revision>
  <cp:lastPrinted>2020-09-09T15:18:00Z</cp:lastPrinted>
  <dcterms:created xsi:type="dcterms:W3CDTF">2020-09-08T12:23:00Z</dcterms:created>
  <dcterms:modified xsi:type="dcterms:W3CDTF">2021-08-04T07:44:00Z</dcterms:modified>
</cp:coreProperties>
</file>