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FD5BBA"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FD5BBA" w:rsidP="00781645">
                  <w:pPr>
                    <w:pStyle w:val="5"/>
                    <w:tabs>
                      <w:tab w:val="center" w:pos="1980"/>
                      <w:tab w:val="center" w:pos="6840"/>
                    </w:tabs>
                    <w:spacing w:before="0" w:after="0"/>
                    <w:ind w:left="1418" w:hanging="1418"/>
                    <w:jc w:val="center"/>
                    <w:rPr>
                      <w:rFonts w:ascii="Calibri" w:hAnsi="Calibri" w:cs="Arial"/>
                      <w:i w:val="0"/>
                      <w:sz w:val="24"/>
                      <w:szCs w:val="24"/>
                    </w:rPr>
                  </w:pPr>
                  <w:r w:rsidRPr="00FD5BBA">
                    <w:rPr>
                      <w:rFonts w:cs="Arial"/>
                      <w:b w:val="0"/>
                      <w:bCs w:val="0"/>
                      <w:i w:val="0"/>
                      <w:iCs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7"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A6626" w:rsidRDefault="00CD2B13" w:rsidP="00781645">
      <w:pPr>
        <w:widowControl w:val="0"/>
        <w:tabs>
          <w:tab w:val="left" w:pos="0"/>
          <w:tab w:val="center" w:pos="6840"/>
        </w:tabs>
        <w:jc w:val="center"/>
        <w:rPr>
          <w:rFonts w:eastAsiaTheme="minorEastAsia" w:cstheme="minorBidi"/>
          <w:u w:val="single"/>
        </w:rPr>
      </w:pPr>
      <w:r>
        <w:rPr>
          <w:rFonts w:eastAsiaTheme="minorEastAsia" w:cstheme="minorBidi"/>
          <w:u w:val="single"/>
        </w:rPr>
        <w:t>ΔΕΛΤΙΟ ΤΥΠΟΥ</w:t>
      </w:r>
    </w:p>
    <w:p w:rsidR="00E94578" w:rsidRDefault="00E94578" w:rsidP="00A420F1">
      <w:pPr>
        <w:ind w:left="1134"/>
        <w:jc w:val="center"/>
      </w:pPr>
    </w:p>
    <w:p w:rsidR="00E94578" w:rsidRDefault="00781645" w:rsidP="00781645">
      <w:pPr>
        <w:jc w:val="both"/>
        <w:rPr>
          <w:b/>
        </w:rPr>
      </w:pPr>
      <w:r>
        <w:rPr>
          <w:b/>
        </w:rPr>
        <w:t xml:space="preserve">Θέμα: </w:t>
      </w:r>
      <w:r w:rsidR="004D1025" w:rsidRPr="004D1025">
        <w:rPr>
          <w:b/>
        </w:rPr>
        <w:t xml:space="preserve">Συνάντηση του Διευθυντή Πρωτοβάθμιας Εκπαίδευσης Ηρακλείου με την Αντιδήμαρχο Παιδείας, Δια Βίου Μάθησης &amp; Νέας Γενιάς  του Δήμου Ηρακλείου </w:t>
      </w:r>
      <w:bookmarkStart w:id="0" w:name="_GoBack"/>
      <w:bookmarkEnd w:id="0"/>
      <w:r w:rsidR="004D1025" w:rsidRPr="004D1025">
        <w:rPr>
          <w:b/>
        </w:rPr>
        <w:t>την Δήμο Ηρακλείου για λειτουργικά θέματα Παιδείας</w:t>
      </w:r>
      <w:r w:rsidR="001B21FF">
        <w:rPr>
          <w:b/>
        </w:rPr>
        <w:t>.</w:t>
      </w:r>
    </w:p>
    <w:p w:rsidR="00E94578" w:rsidRPr="001479DD" w:rsidRDefault="00E94578" w:rsidP="00B37A22">
      <w:pPr>
        <w:ind w:left="1134"/>
        <w:jc w:val="both"/>
        <w:rPr>
          <w:b/>
        </w:rPr>
      </w:pPr>
    </w:p>
    <w:p w:rsidR="004D1025" w:rsidRPr="004D1025" w:rsidRDefault="004D1025" w:rsidP="004D1025">
      <w:pPr>
        <w:jc w:val="both"/>
      </w:pPr>
      <w:r w:rsidRPr="004D1025">
        <w:t xml:space="preserve">Σε εξαιρετικό κλίμα πραγματοποιήθηκε συνάντηση στα γραφεία της Διεύθυνσης Πρωτοβάθμιας Εκπαίδευσης Ηρακλείου, του Διευθυντή κ. Μανόλη </w:t>
      </w:r>
      <w:proofErr w:type="spellStart"/>
      <w:r w:rsidRPr="004D1025">
        <w:t>Μπελαδάκη</w:t>
      </w:r>
      <w:proofErr w:type="spellEnd"/>
      <w:r w:rsidRPr="004D1025">
        <w:t xml:space="preserve">, με την Αντιδήμαρχο Παιδείας, Δια Βίου Μάθησης &amp; Νέας Γενιάς  του Δήμου Ηρακλείου, κα Στέλλα </w:t>
      </w:r>
      <w:proofErr w:type="spellStart"/>
      <w:r w:rsidRPr="004D1025">
        <w:t>Καλογεράκη</w:t>
      </w:r>
      <w:proofErr w:type="spellEnd"/>
      <w:r w:rsidRPr="004D1025">
        <w:t xml:space="preserve"> - Αρχοντάκη. </w:t>
      </w:r>
    </w:p>
    <w:p w:rsidR="004D1025" w:rsidRPr="004D1025" w:rsidRDefault="004D1025" w:rsidP="004D1025">
      <w:pPr>
        <w:jc w:val="both"/>
      </w:pPr>
    </w:p>
    <w:p w:rsidR="004D1025" w:rsidRPr="004D1025" w:rsidRDefault="004D1025" w:rsidP="004D1025">
      <w:pPr>
        <w:jc w:val="both"/>
      </w:pPr>
      <w:r w:rsidRPr="004D1025">
        <w:t xml:space="preserve">Στη συνάντηση συζητήθηκε ο χωροταξικός σχεδιασμός των σχολικών μονάδων Πρωτοβάθμιας Εκπαίδευσης του Δήμου Ηρακλείου και θέματα που αφορούν στη λειτουργία των Δημοτικών και των Νηπιαγωγείων. Ιδιαίτερη έμφαση δόθηκε στις κτιριακές υποδομές των Νηπιαγωγείων της πόλης του Ηρακλείου, καθώς αναμένεται η διαδικασία παράδοσης – παραλαβής των νέων αιθουσών που θα στεγάζουν μαθητές της προσχολικής Αγωγής. </w:t>
      </w:r>
    </w:p>
    <w:p w:rsidR="004D1025" w:rsidRPr="004D1025" w:rsidRDefault="004D1025" w:rsidP="004D1025">
      <w:pPr>
        <w:jc w:val="both"/>
      </w:pPr>
    </w:p>
    <w:p w:rsidR="004D1025" w:rsidRPr="004D1025" w:rsidRDefault="004D1025" w:rsidP="004D1025">
      <w:pPr>
        <w:jc w:val="both"/>
      </w:pPr>
      <w:r w:rsidRPr="004D1025">
        <w:t xml:space="preserve">Κατά τη διάρκεια της διαλογικής συζήτησης που έλαβε χώρα, αναλύθηκε και σχεδιάστηκε, από κοινού, το πλαίσιο συνεργασίας μεταξύ της </w:t>
      </w:r>
      <w:proofErr w:type="spellStart"/>
      <w:r w:rsidRPr="004D1025">
        <w:t>Αντιδημαρχίας</w:t>
      </w:r>
      <w:proofErr w:type="spellEnd"/>
      <w:r w:rsidRPr="004D1025">
        <w:t xml:space="preserve"> Παιδείας με τη Διεύθυνση Πρωτοβάθμιας Εκπαίδευσης Ηρακλείου. Η Αντιδήμαρχος υποστηρίζει τη συμμετοχή σε διοργανώσεις, που σχετίζονται με το σύνολό των σχολείων του Δήμου Ηρακλείου. Ο κύριος </w:t>
      </w:r>
      <w:proofErr w:type="spellStart"/>
      <w:r w:rsidRPr="004D1025">
        <w:t>Μπελαδάκης</w:t>
      </w:r>
      <w:proofErr w:type="spellEnd"/>
      <w:r w:rsidRPr="004D1025">
        <w:t xml:space="preserve">  επιδοκιμάζει και υπογραμμίζει ότι η Διεύθυνση Πρωτοβάθμιας Ηρακλείου θα συνεχίσει να στηρίζει το έργο του Δήμου, ώστε να αναβαθμιστεί ακόμα περισσότερο ο τομέας της Παιδείας και της Εκπαίδευσης στοχεύοντας σε μελλοντικές, εποικοδομητικές και </w:t>
      </w:r>
      <w:proofErr w:type="spellStart"/>
      <w:r w:rsidRPr="004D1025">
        <w:t>τελεσφόρες</w:t>
      </w:r>
      <w:proofErr w:type="spellEnd"/>
      <w:r w:rsidRPr="004D1025">
        <w:t xml:space="preserve"> συνεργασίες.</w:t>
      </w:r>
    </w:p>
    <w:p w:rsidR="001B21FF" w:rsidRDefault="001B21FF" w:rsidP="00DA6125">
      <w:pPr>
        <w:jc w:val="both"/>
      </w:pPr>
    </w:p>
    <w:p w:rsidR="001B21FF" w:rsidRDefault="001B21FF" w:rsidP="00DA6125">
      <w:pPr>
        <w:jc w:val="both"/>
      </w:pPr>
    </w:p>
    <w:p w:rsidR="00D917C9" w:rsidRPr="00D917C9" w:rsidRDefault="00D917C9" w:rsidP="00DA6125">
      <w:pPr>
        <w:jc w:val="both"/>
      </w:pPr>
    </w:p>
    <w:sectPr w:rsidR="00D917C9" w:rsidRPr="00D917C9" w:rsidSect="0067770B">
      <w:pgSz w:w="11906" w:h="16838"/>
      <w:pgMar w:top="709"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E3ADC"/>
    <w:multiLevelType w:val="hybridMultilevel"/>
    <w:tmpl w:val="B038D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A213283"/>
    <w:multiLevelType w:val="hybridMultilevel"/>
    <w:tmpl w:val="39ACE26C"/>
    <w:lvl w:ilvl="0" w:tplc="04080001">
      <w:start w:val="1"/>
      <w:numFmt w:val="bullet"/>
      <w:lvlText w:val=""/>
      <w:lvlJc w:val="left"/>
      <w:pPr>
        <w:ind w:left="1055" w:hanging="360"/>
      </w:pPr>
      <w:rPr>
        <w:rFonts w:ascii="Symbol" w:hAnsi="Symbol" w:hint="default"/>
      </w:rPr>
    </w:lvl>
    <w:lvl w:ilvl="1" w:tplc="04080003" w:tentative="1">
      <w:start w:val="1"/>
      <w:numFmt w:val="bullet"/>
      <w:lvlText w:val="o"/>
      <w:lvlJc w:val="left"/>
      <w:pPr>
        <w:ind w:left="1775" w:hanging="360"/>
      </w:pPr>
      <w:rPr>
        <w:rFonts w:ascii="Courier New" w:hAnsi="Courier New" w:cs="Courier New" w:hint="default"/>
      </w:rPr>
    </w:lvl>
    <w:lvl w:ilvl="2" w:tplc="04080005" w:tentative="1">
      <w:start w:val="1"/>
      <w:numFmt w:val="bullet"/>
      <w:lvlText w:val=""/>
      <w:lvlJc w:val="left"/>
      <w:pPr>
        <w:ind w:left="2495" w:hanging="360"/>
      </w:pPr>
      <w:rPr>
        <w:rFonts w:ascii="Wingdings" w:hAnsi="Wingdings" w:hint="default"/>
      </w:rPr>
    </w:lvl>
    <w:lvl w:ilvl="3" w:tplc="04080001" w:tentative="1">
      <w:start w:val="1"/>
      <w:numFmt w:val="bullet"/>
      <w:lvlText w:val=""/>
      <w:lvlJc w:val="left"/>
      <w:pPr>
        <w:ind w:left="3215" w:hanging="360"/>
      </w:pPr>
      <w:rPr>
        <w:rFonts w:ascii="Symbol" w:hAnsi="Symbol" w:hint="default"/>
      </w:rPr>
    </w:lvl>
    <w:lvl w:ilvl="4" w:tplc="04080003" w:tentative="1">
      <w:start w:val="1"/>
      <w:numFmt w:val="bullet"/>
      <w:lvlText w:val="o"/>
      <w:lvlJc w:val="left"/>
      <w:pPr>
        <w:ind w:left="3935" w:hanging="360"/>
      </w:pPr>
      <w:rPr>
        <w:rFonts w:ascii="Courier New" w:hAnsi="Courier New" w:cs="Courier New" w:hint="default"/>
      </w:rPr>
    </w:lvl>
    <w:lvl w:ilvl="5" w:tplc="04080005" w:tentative="1">
      <w:start w:val="1"/>
      <w:numFmt w:val="bullet"/>
      <w:lvlText w:val=""/>
      <w:lvlJc w:val="left"/>
      <w:pPr>
        <w:ind w:left="4655" w:hanging="360"/>
      </w:pPr>
      <w:rPr>
        <w:rFonts w:ascii="Wingdings" w:hAnsi="Wingdings" w:hint="default"/>
      </w:rPr>
    </w:lvl>
    <w:lvl w:ilvl="6" w:tplc="04080001" w:tentative="1">
      <w:start w:val="1"/>
      <w:numFmt w:val="bullet"/>
      <w:lvlText w:val=""/>
      <w:lvlJc w:val="left"/>
      <w:pPr>
        <w:ind w:left="5375" w:hanging="360"/>
      </w:pPr>
      <w:rPr>
        <w:rFonts w:ascii="Symbol" w:hAnsi="Symbol" w:hint="default"/>
      </w:rPr>
    </w:lvl>
    <w:lvl w:ilvl="7" w:tplc="04080003" w:tentative="1">
      <w:start w:val="1"/>
      <w:numFmt w:val="bullet"/>
      <w:lvlText w:val="o"/>
      <w:lvlJc w:val="left"/>
      <w:pPr>
        <w:ind w:left="6095" w:hanging="360"/>
      </w:pPr>
      <w:rPr>
        <w:rFonts w:ascii="Courier New" w:hAnsi="Courier New" w:cs="Courier New" w:hint="default"/>
      </w:rPr>
    </w:lvl>
    <w:lvl w:ilvl="8" w:tplc="04080005" w:tentative="1">
      <w:start w:val="1"/>
      <w:numFmt w:val="bullet"/>
      <w:lvlText w:val=""/>
      <w:lvlJc w:val="left"/>
      <w:pPr>
        <w:ind w:left="681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20B1F"/>
    <w:rsid w:val="000413D7"/>
    <w:rsid w:val="000869A3"/>
    <w:rsid w:val="00131201"/>
    <w:rsid w:val="0013163F"/>
    <w:rsid w:val="0014390A"/>
    <w:rsid w:val="001479DD"/>
    <w:rsid w:val="00194EF4"/>
    <w:rsid w:val="001B21FF"/>
    <w:rsid w:val="001D5557"/>
    <w:rsid w:val="001F158B"/>
    <w:rsid w:val="0020516A"/>
    <w:rsid w:val="00230F4E"/>
    <w:rsid w:val="00262707"/>
    <w:rsid w:val="002704A5"/>
    <w:rsid w:val="00276AD6"/>
    <w:rsid w:val="00285637"/>
    <w:rsid w:val="002A28BF"/>
    <w:rsid w:val="002E7FAB"/>
    <w:rsid w:val="0030768E"/>
    <w:rsid w:val="00322463"/>
    <w:rsid w:val="00336B4B"/>
    <w:rsid w:val="00353A36"/>
    <w:rsid w:val="0036376B"/>
    <w:rsid w:val="003735A1"/>
    <w:rsid w:val="003941FC"/>
    <w:rsid w:val="003A23A0"/>
    <w:rsid w:val="003B299E"/>
    <w:rsid w:val="003C3612"/>
    <w:rsid w:val="003D07CE"/>
    <w:rsid w:val="00403220"/>
    <w:rsid w:val="004143B5"/>
    <w:rsid w:val="0041559C"/>
    <w:rsid w:val="00415602"/>
    <w:rsid w:val="00465D26"/>
    <w:rsid w:val="0048265C"/>
    <w:rsid w:val="004B5CC5"/>
    <w:rsid w:val="004D1025"/>
    <w:rsid w:val="00506CD8"/>
    <w:rsid w:val="005079FB"/>
    <w:rsid w:val="00511F0F"/>
    <w:rsid w:val="0051418D"/>
    <w:rsid w:val="00521496"/>
    <w:rsid w:val="00561D7C"/>
    <w:rsid w:val="00574A41"/>
    <w:rsid w:val="00581509"/>
    <w:rsid w:val="005A4107"/>
    <w:rsid w:val="005B5223"/>
    <w:rsid w:val="005E2191"/>
    <w:rsid w:val="005F555A"/>
    <w:rsid w:val="00631161"/>
    <w:rsid w:val="006633A0"/>
    <w:rsid w:val="00666913"/>
    <w:rsid w:val="0067770B"/>
    <w:rsid w:val="006C39AA"/>
    <w:rsid w:val="006C6D72"/>
    <w:rsid w:val="006C7F5C"/>
    <w:rsid w:val="006F18F5"/>
    <w:rsid w:val="006F4919"/>
    <w:rsid w:val="00702D63"/>
    <w:rsid w:val="00714958"/>
    <w:rsid w:val="00746BF3"/>
    <w:rsid w:val="00767B1A"/>
    <w:rsid w:val="00781645"/>
    <w:rsid w:val="007928E7"/>
    <w:rsid w:val="00792CC2"/>
    <w:rsid w:val="007938EC"/>
    <w:rsid w:val="00795E6D"/>
    <w:rsid w:val="007A6626"/>
    <w:rsid w:val="00834452"/>
    <w:rsid w:val="008A12E4"/>
    <w:rsid w:val="008B1579"/>
    <w:rsid w:val="008C31F3"/>
    <w:rsid w:val="008D5275"/>
    <w:rsid w:val="008D7849"/>
    <w:rsid w:val="008F2B18"/>
    <w:rsid w:val="00907C43"/>
    <w:rsid w:val="00910AB6"/>
    <w:rsid w:val="00920C36"/>
    <w:rsid w:val="009236C5"/>
    <w:rsid w:val="00972544"/>
    <w:rsid w:val="009744C8"/>
    <w:rsid w:val="009D1A1D"/>
    <w:rsid w:val="009D50ED"/>
    <w:rsid w:val="009F7D1A"/>
    <w:rsid w:val="00A054B4"/>
    <w:rsid w:val="00A23A13"/>
    <w:rsid w:val="00A32691"/>
    <w:rsid w:val="00A420F1"/>
    <w:rsid w:val="00A72D3B"/>
    <w:rsid w:val="00A766EB"/>
    <w:rsid w:val="00A82AA8"/>
    <w:rsid w:val="00AB3B8E"/>
    <w:rsid w:val="00AC1F24"/>
    <w:rsid w:val="00AF0849"/>
    <w:rsid w:val="00AF61AD"/>
    <w:rsid w:val="00B04168"/>
    <w:rsid w:val="00B1749C"/>
    <w:rsid w:val="00B37A22"/>
    <w:rsid w:val="00B545A3"/>
    <w:rsid w:val="00B6339A"/>
    <w:rsid w:val="00B673C5"/>
    <w:rsid w:val="00B716B4"/>
    <w:rsid w:val="00B84E62"/>
    <w:rsid w:val="00BC1A24"/>
    <w:rsid w:val="00BC71EE"/>
    <w:rsid w:val="00BD2032"/>
    <w:rsid w:val="00BE3A78"/>
    <w:rsid w:val="00C274E5"/>
    <w:rsid w:val="00C3291F"/>
    <w:rsid w:val="00C81149"/>
    <w:rsid w:val="00C97CAE"/>
    <w:rsid w:val="00CD2B13"/>
    <w:rsid w:val="00CD312C"/>
    <w:rsid w:val="00CE6922"/>
    <w:rsid w:val="00D018B8"/>
    <w:rsid w:val="00D11441"/>
    <w:rsid w:val="00D471F3"/>
    <w:rsid w:val="00D77E69"/>
    <w:rsid w:val="00D917C9"/>
    <w:rsid w:val="00D9660D"/>
    <w:rsid w:val="00D97801"/>
    <w:rsid w:val="00DA6125"/>
    <w:rsid w:val="00DC4B61"/>
    <w:rsid w:val="00E279AC"/>
    <w:rsid w:val="00E400B8"/>
    <w:rsid w:val="00E42F02"/>
    <w:rsid w:val="00E650C7"/>
    <w:rsid w:val="00E94578"/>
    <w:rsid w:val="00EB43ED"/>
    <w:rsid w:val="00EC328F"/>
    <w:rsid w:val="00EC46AA"/>
    <w:rsid w:val="00EE025F"/>
    <w:rsid w:val="00F526CC"/>
    <w:rsid w:val="00F7281C"/>
    <w:rsid w:val="00FC2DC6"/>
    <w:rsid w:val="00FC7CD8"/>
    <w:rsid w:val="00FD3FDA"/>
    <w:rsid w:val="00FD5BB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199</Words>
  <Characters>1304</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64</cp:revision>
  <cp:lastPrinted>2020-09-09T15:18:00Z</cp:lastPrinted>
  <dcterms:created xsi:type="dcterms:W3CDTF">2020-09-08T12:23:00Z</dcterms:created>
  <dcterms:modified xsi:type="dcterms:W3CDTF">2021-05-31T09:20:00Z</dcterms:modified>
</cp:coreProperties>
</file>